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8E638" w14:textId="77777777" w:rsidR="005915EA" w:rsidRPr="00680365" w:rsidRDefault="005915EA" w:rsidP="007B2685">
      <w:pPr>
        <w:spacing w:after="40" w:line="240" w:lineRule="auto"/>
        <w:contextualSpacing/>
        <w:jc w:val="center"/>
        <w:rPr>
          <w:b/>
          <w:u w:val="single"/>
        </w:rPr>
      </w:pPr>
      <w:r w:rsidRPr="00680365">
        <w:rPr>
          <w:b/>
          <w:u w:val="single"/>
        </w:rPr>
        <w:t>CATIE</w:t>
      </w:r>
      <w:r w:rsidR="000403B5" w:rsidRPr="00680365">
        <w:rPr>
          <w:b/>
          <w:u w:val="single"/>
        </w:rPr>
        <w:t xml:space="preserve"> Summary</w:t>
      </w:r>
    </w:p>
    <w:p w14:paraId="70BBE21B" w14:textId="15317814" w:rsidR="008323C6" w:rsidRPr="008323C6" w:rsidRDefault="008323C6" w:rsidP="006B2CCE">
      <w:pPr>
        <w:spacing w:after="40" w:line="240" w:lineRule="auto"/>
        <w:jc w:val="center"/>
        <w:rPr>
          <w:i/>
        </w:rPr>
      </w:pPr>
      <w:r w:rsidRPr="008323C6">
        <w:rPr>
          <w:i/>
        </w:rPr>
        <w:t>Lieberman, JA et al. (2005). Effectiveness of Antipsychotic Drugs in Patients with Chronic Schizophrenia. New England Journal of Medicine, (353), p. 1209 – 1223.</w:t>
      </w:r>
    </w:p>
    <w:p w14:paraId="79E9085C" w14:textId="77777777" w:rsidR="00766BE7" w:rsidRPr="00DC7A1C" w:rsidRDefault="00766BE7" w:rsidP="007B2685">
      <w:pPr>
        <w:spacing w:after="40" w:line="240" w:lineRule="auto"/>
        <w:contextualSpacing/>
        <w:jc w:val="center"/>
        <w:rPr>
          <w:b/>
        </w:rPr>
      </w:pPr>
    </w:p>
    <w:p w14:paraId="07E4B422" w14:textId="06ABAC88" w:rsidR="00283AA9" w:rsidRPr="0018779D" w:rsidRDefault="00283AA9" w:rsidP="007B2685">
      <w:pPr>
        <w:spacing w:after="40" w:line="240" w:lineRule="auto"/>
        <w:contextualSpacing/>
      </w:pPr>
      <w:r w:rsidRPr="0018779D">
        <w:rPr>
          <w:b/>
        </w:rPr>
        <w:t xml:space="preserve">Clinical Question: </w:t>
      </w:r>
      <w:r w:rsidRPr="0018779D">
        <w:t xml:space="preserve"> </w:t>
      </w:r>
      <w:r w:rsidR="00893075" w:rsidRPr="0018779D">
        <w:t xml:space="preserve">What are the best treatments for </w:t>
      </w:r>
      <w:r w:rsidR="005915EA" w:rsidRPr="0018779D">
        <w:t>chronic schizophrenia</w:t>
      </w:r>
      <w:r w:rsidRPr="0018779D">
        <w:t>?</w:t>
      </w:r>
    </w:p>
    <w:p w14:paraId="6BDF4242" w14:textId="55CA7FDA" w:rsidR="00283AA9" w:rsidRPr="0018779D" w:rsidRDefault="00CF702E" w:rsidP="007B2685">
      <w:pPr>
        <w:spacing w:after="40" w:line="240" w:lineRule="auto"/>
        <w:contextualSpacing/>
        <w:rPr>
          <w:b/>
        </w:rPr>
      </w:pPr>
      <w:r w:rsidRPr="0018779D">
        <w:rPr>
          <w:b/>
        </w:rPr>
        <w:t>Clinical Take Homes:</w:t>
      </w:r>
    </w:p>
    <w:p w14:paraId="6EFDC9DF" w14:textId="77777777" w:rsidR="005915EA" w:rsidRPr="0018779D" w:rsidRDefault="005915EA" w:rsidP="007B2685">
      <w:pPr>
        <w:pStyle w:val="ListParagraph"/>
        <w:numPr>
          <w:ilvl w:val="0"/>
          <w:numId w:val="8"/>
        </w:numPr>
        <w:spacing w:after="40" w:line="240" w:lineRule="auto"/>
      </w:pPr>
      <w:r w:rsidRPr="0018779D">
        <w:t>Largest, longest, most comprehensive independent trial ever conducted to study existing therapies for schizophrenia</w:t>
      </w:r>
    </w:p>
    <w:p w14:paraId="19365F6F" w14:textId="2224950C" w:rsidR="005915EA" w:rsidRPr="0018779D" w:rsidRDefault="005915EA" w:rsidP="007B2685">
      <w:pPr>
        <w:pStyle w:val="ListParagraph"/>
        <w:numPr>
          <w:ilvl w:val="0"/>
          <w:numId w:val="8"/>
        </w:numPr>
        <w:spacing w:after="40" w:line="240" w:lineRule="auto"/>
        <w:rPr>
          <w:b/>
        </w:rPr>
      </w:pPr>
      <w:proofErr w:type="spellStart"/>
      <w:r w:rsidRPr="0018779D">
        <w:t>Perphenazine</w:t>
      </w:r>
      <w:proofErr w:type="spellEnd"/>
      <w:r w:rsidR="00893075" w:rsidRPr="0018779D">
        <w:t xml:space="preserve"> (FGA) &amp; </w:t>
      </w:r>
      <w:r w:rsidRPr="0018779D">
        <w:t>Olanzapine, Risperidone, Quetiap</w:t>
      </w:r>
      <w:r w:rsidR="00893075" w:rsidRPr="0018779D">
        <w:t xml:space="preserve">ine, and Ziprasidone (SGA) </w:t>
      </w:r>
      <w:r w:rsidRPr="0018779D">
        <w:t>studied</w:t>
      </w:r>
      <w:r w:rsidR="00283AA9" w:rsidRPr="0018779D">
        <w:t xml:space="preserve"> </w:t>
      </w:r>
    </w:p>
    <w:p w14:paraId="55F7DCB2" w14:textId="0C083FB2" w:rsidR="005915EA" w:rsidRPr="0018779D" w:rsidRDefault="005915EA" w:rsidP="007B2685">
      <w:pPr>
        <w:pStyle w:val="ListParagraph"/>
        <w:numPr>
          <w:ilvl w:val="0"/>
          <w:numId w:val="8"/>
        </w:numPr>
        <w:spacing w:after="40" w:line="240" w:lineRule="auto"/>
        <w:rPr>
          <w:b/>
        </w:rPr>
      </w:pPr>
      <w:r w:rsidRPr="0018779D">
        <w:t>Primary Measure of treatment success: Length of ti</w:t>
      </w:r>
      <w:r w:rsidR="00893075" w:rsidRPr="0018779D">
        <w:t>me a patient benefitted from &amp; stayed on a med before they/</w:t>
      </w:r>
      <w:r w:rsidRPr="0018779D">
        <w:t>their doctor decided to change it. More simply: “Time to Discontinuation”</w:t>
      </w:r>
    </w:p>
    <w:p w14:paraId="20DA7B6C" w14:textId="77777777" w:rsidR="005915EA" w:rsidRPr="0018779D" w:rsidRDefault="005915EA" w:rsidP="007B2685">
      <w:pPr>
        <w:pStyle w:val="ListParagraph"/>
        <w:numPr>
          <w:ilvl w:val="0"/>
          <w:numId w:val="8"/>
        </w:numPr>
        <w:spacing w:after="40" w:line="240" w:lineRule="auto"/>
        <w:rPr>
          <w:b/>
        </w:rPr>
      </w:pPr>
      <w:r w:rsidRPr="0018779D">
        <w:t>All medications studied were comparably effective</w:t>
      </w:r>
    </w:p>
    <w:p w14:paraId="78BDA124" w14:textId="77777777" w:rsidR="005915EA" w:rsidRPr="0018779D" w:rsidRDefault="005915EA" w:rsidP="007B2685">
      <w:pPr>
        <w:pStyle w:val="ListParagraph"/>
        <w:numPr>
          <w:ilvl w:val="0"/>
          <w:numId w:val="8"/>
        </w:numPr>
        <w:spacing w:after="40" w:line="240" w:lineRule="auto"/>
        <w:rPr>
          <w:b/>
        </w:rPr>
      </w:pPr>
      <w:r w:rsidRPr="0018779D">
        <w:t>Olanzapine showed improved efficacy and a longer time to discontinuation compared to other trialed medications, but metabolic side effects yielded poor tolerance by patients</w:t>
      </w:r>
    </w:p>
    <w:p w14:paraId="1DDBEA26" w14:textId="77777777" w:rsidR="005915EA" w:rsidRPr="0018779D" w:rsidRDefault="005915EA" w:rsidP="007B2685">
      <w:pPr>
        <w:pStyle w:val="ListParagraph"/>
        <w:numPr>
          <w:ilvl w:val="0"/>
          <w:numId w:val="8"/>
        </w:numPr>
        <w:spacing w:after="40" w:line="240" w:lineRule="auto"/>
        <w:rPr>
          <w:b/>
        </w:rPr>
      </w:pPr>
      <w:proofErr w:type="spellStart"/>
      <w:r w:rsidRPr="0018779D">
        <w:t>Perphenazine</w:t>
      </w:r>
      <w:proofErr w:type="spellEnd"/>
      <w:r w:rsidRPr="0018779D">
        <w:t xml:space="preserve"> generally performed as well as the four SGAs studied with no statistically significant increase in side effects, including extrapyramidal symptoms</w:t>
      </w:r>
    </w:p>
    <w:p w14:paraId="7BE5CD13" w14:textId="7EA583DE" w:rsidR="00FC7406" w:rsidRPr="00037B5F" w:rsidRDefault="00FC7406" w:rsidP="007B2685">
      <w:pPr>
        <w:spacing w:after="40" w:line="240" w:lineRule="auto"/>
        <w:rPr>
          <w:b/>
        </w:rPr>
      </w:pPr>
      <w:r w:rsidRPr="00037B5F">
        <w:rPr>
          <w:b/>
        </w:rPr>
        <w:t>CATIE Phase 2</w:t>
      </w:r>
      <w:r w:rsidRPr="0018779D">
        <w:t xml:space="preserve">: Two pathways </w:t>
      </w:r>
    </w:p>
    <w:p w14:paraId="12268465" w14:textId="3A99B3B2" w:rsidR="00FC7406" w:rsidRPr="0018779D" w:rsidRDefault="00FC7406" w:rsidP="007B2685">
      <w:pPr>
        <w:pStyle w:val="ListParagraph"/>
        <w:numPr>
          <w:ilvl w:val="0"/>
          <w:numId w:val="22"/>
        </w:numPr>
        <w:spacing w:after="40" w:line="240" w:lineRule="auto"/>
      </w:pPr>
      <w:r w:rsidRPr="0018779D">
        <w:t xml:space="preserve">Efficacy Pathway: Results – Clozapine had greater symptom control than all other meds, close </w:t>
      </w:r>
      <w:r w:rsidR="00CF702E" w:rsidRPr="0018779D">
        <w:t xml:space="preserve">side effect </w:t>
      </w:r>
      <w:r w:rsidRPr="0018779D">
        <w:t>monitoring essential</w:t>
      </w:r>
    </w:p>
    <w:p w14:paraId="2A40450B" w14:textId="12192BC6" w:rsidR="00FC7406" w:rsidRPr="0018779D" w:rsidRDefault="00FC7406" w:rsidP="007B2685">
      <w:pPr>
        <w:pStyle w:val="ListParagraph"/>
        <w:numPr>
          <w:ilvl w:val="0"/>
          <w:numId w:val="22"/>
        </w:numPr>
        <w:spacing w:after="40" w:line="240" w:lineRule="auto"/>
      </w:pPr>
      <w:r w:rsidRPr="0018779D">
        <w:t>Tolerability Pathway: Results – Ziprasidone, similar results to Phase 1</w:t>
      </w:r>
    </w:p>
    <w:p w14:paraId="18B28840" w14:textId="46C1EAFC" w:rsidR="00283AA9" w:rsidRPr="0018779D" w:rsidRDefault="00283AA9" w:rsidP="007B2685">
      <w:pPr>
        <w:spacing w:after="40" w:line="240" w:lineRule="auto"/>
        <w:contextualSpacing/>
      </w:pPr>
      <w:r w:rsidRPr="0018779D">
        <w:rPr>
          <w:b/>
        </w:rPr>
        <w:t xml:space="preserve">Study Population: </w:t>
      </w:r>
      <w:r w:rsidRPr="0018779D">
        <w:t xml:space="preserve">Patients diagnosed with </w:t>
      </w:r>
      <w:r w:rsidR="005915EA" w:rsidRPr="0018779D">
        <w:t>chronic schizophrenia</w:t>
      </w:r>
      <w:r w:rsidRPr="0018779D">
        <w:t xml:space="preserve">; </w:t>
      </w:r>
      <w:r w:rsidR="005915EA" w:rsidRPr="0018779D">
        <w:t>1460</w:t>
      </w:r>
      <w:r w:rsidRPr="0018779D">
        <w:t xml:space="preserve"> subjects </w:t>
      </w:r>
      <w:r w:rsidR="00B3687E" w:rsidRPr="0018779D">
        <w:t xml:space="preserve">at 57 US sites. </w:t>
      </w:r>
    </w:p>
    <w:p w14:paraId="4D1D32A8" w14:textId="2289171C" w:rsidR="00B3687E" w:rsidRPr="0018779D" w:rsidRDefault="00B3687E" w:rsidP="007B2685">
      <w:pPr>
        <w:pStyle w:val="ListParagraph"/>
        <w:numPr>
          <w:ilvl w:val="0"/>
          <w:numId w:val="21"/>
        </w:numPr>
        <w:spacing w:after="40" w:line="240" w:lineRule="auto"/>
      </w:pPr>
      <w:r w:rsidRPr="0018779D">
        <w:t>74% male; 60% white, 35% African-American, 12% Hispanic</w:t>
      </w:r>
    </w:p>
    <w:p w14:paraId="0A60D7DC" w14:textId="15E4BD92" w:rsidR="00CF702E" w:rsidRPr="0018779D" w:rsidRDefault="00CF702E" w:rsidP="007B2685">
      <w:pPr>
        <w:pStyle w:val="ListParagraph"/>
        <w:numPr>
          <w:ilvl w:val="0"/>
          <w:numId w:val="21"/>
        </w:numPr>
        <w:spacing w:after="40" w:line="240" w:lineRule="auto"/>
      </w:pPr>
      <w:r w:rsidRPr="0018779D">
        <w:t>Average age: 40.6 years</w:t>
      </w:r>
    </w:p>
    <w:p w14:paraId="1421CDED" w14:textId="77777777" w:rsidR="00283AA9" w:rsidRPr="0018779D" w:rsidRDefault="00283AA9" w:rsidP="007B2685">
      <w:pPr>
        <w:spacing w:after="40" w:line="240" w:lineRule="auto"/>
        <w:contextualSpacing/>
      </w:pPr>
      <w:r w:rsidRPr="0018779D">
        <w:rPr>
          <w:b/>
        </w:rPr>
        <w:t xml:space="preserve">Study Endpoints: </w:t>
      </w:r>
      <w:r w:rsidRPr="0018779D">
        <w:t xml:space="preserve">Patients followed for </w:t>
      </w:r>
      <w:r w:rsidR="005915EA" w:rsidRPr="0018779D">
        <w:t>18 months</w:t>
      </w:r>
      <w:r w:rsidRPr="0018779D">
        <w:t xml:space="preserve">. </w:t>
      </w:r>
    </w:p>
    <w:p w14:paraId="26C9BF6D" w14:textId="72112E11" w:rsidR="00CF702E" w:rsidRPr="0018779D" w:rsidRDefault="00CF702E" w:rsidP="007B2685">
      <w:pPr>
        <w:spacing w:after="40" w:line="240" w:lineRule="auto"/>
        <w:contextualSpacing/>
      </w:pPr>
      <w:r w:rsidRPr="0018779D">
        <w:rPr>
          <w:b/>
        </w:rPr>
        <w:t>Study Design</w:t>
      </w:r>
      <w:r w:rsidR="00283AA9" w:rsidRPr="0018779D">
        <w:rPr>
          <w:b/>
        </w:rPr>
        <w:t xml:space="preserve"> and Results: </w:t>
      </w:r>
      <w:r w:rsidR="00283AA9" w:rsidRPr="0018779D">
        <w:t xml:space="preserve">NIMH funded study to look at best </w:t>
      </w:r>
      <w:r w:rsidR="005915EA" w:rsidRPr="0018779D">
        <w:t>treatments for chronic schizophrenia</w:t>
      </w:r>
    </w:p>
    <w:p w14:paraId="2E27A660" w14:textId="77777777" w:rsidR="00CF702E" w:rsidRPr="0018779D" w:rsidRDefault="00CF702E" w:rsidP="007B2685">
      <w:pPr>
        <w:numPr>
          <w:ilvl w:val="0"/>
          <w:numId w:val="23"/>
        </w:numPr>
        <w:spacing w:after="40" w:line="240" w:lineRule="auto"/>
        <w:contextualSpacing/>
      </w:pPr>
      <w:r w:rsidRPr="0018779D">
        <w:t>Multi-centered, double-blind, parallel-group, randomized clinical trial</w:t>
      </w:r>
    </w:p>
    <w:p w14:paraId="16C09AF9" w14:textId="69C346F5" w:rsidR="00CF702E" w:rsidRPr="0018779D" w:rsidRDefault="00CF702E" w:rsidP="007B2685">
      <w:pPr>
        <w:numPr>
          <w:ilvl w:val="0"/>
          <w:numId w:val="23"/>
        </w:numPr>
        <w:spacing w:after="40" w:line="240" w:lineRule="auto"/>
        <w:contextualSpacing/>
      </w:pPr>
      <w:r w:rsidRPr="0018779D">
        <w:t>Measure of treatment success: “Time to Discontinua</w:t>
      </w:r>
      <w:bookmarkStart w:id="0" w:name="_GoBack"/>
      <w:bookmarkEnd w:id="0"/>
      <w:r w:rsidRPr="0018779D">
        <w:t>tion,” determined by:</w:t>
      </w:r>
    </w:p>
    <w:p w14:paraId="42266D91" w14:textId="77777777" w:rsidR="00CF702E" w:rsidRPr="0018779D" w:rsidRDefault="00CF702E" w:rsidP="007B2685">
      <w:pPr>
        <w:numPr>
          <w:ilvl w:val="1"/>
          <w:numId w:val="26"/>
        </w:numPr>
        <w:spacing w:after="40" w:line="240" w:lineRule="auto"/>
        <w:contextualSpacing/>
      </w:pPr>
      <w:r w:rsidRPr="0018779D">
        <w:t>Overall level of functioning on medicines</w:t>
      </w:r>
    </w:p>
    <w:p w14:paraId="57463275" w14:textId="77777777" w:rsidR="00CF702E" w:rsidRPr="0018779D" w:rsidRDefault="00CF702E" w:rsidP="007B2685">
      <w:pPr>
        <w:numPr>
          <w:ilvl w:val="1"/>
          <w:numId w:val="26"/>
        </w:numPr>
        <w:spacing w:after="40" w:line="240" w:lineRule="auto"/>
        <w:contextualSpacing/>
      </w:pPr>
      <w:r w:rsidRPr="0018779D">
        <w:t xml:space="preserve">Patient choice to stop meds for other reasons. </w:t>
      </w:r>
    </w:p>
    <w:p w14:paraId="3B0AAA17" w14:textId="590EA40C" w:rsidR="00CF702E" w:rsidRPr="0018779D" w:rsidRDefault="00CF702E" w:rsidP="007B2685">
      <w:pPr>
        <w:numPr>
          <w:ilvl w:val="0"/>
          <w:numId w:val="24"/>
        </w:numPr>
        <w:spacing w:after="40" w:line="240" w:lineRule="auto"/>
        <w:contextualSpacing/>
      </w:pPr>
      <w:r w:rsidRPr="0018779D">
        <w:t xml:space="preserve">Patients visited with physicians monthly and took randomly assigned medications for 18 months, or discontinued them due to: </w:t>
      </w:r>
    </w:p>
    <w:p w14:paraId="6B93EC8F" w14:textId="77777777" w:rsidR="00CF702E" w:rsidRPr="0018779D" w:rsidRDefault="00CF702E" w:rsidP="007B2685">
      <w:pPr>
        <w:numPr>
          <w:ilvl w:val="1"/>
          <w:numId w:val="25"/>
        </w:numPr>
        <w:spacing w:after="40" w:line="240" w:lineRule="auto"/>
        <w:contextualSpacing/>
      </w:pPr>
      <w:r w:rsidRPr="0018779D">
        <w:t>Poor symptom control</w:t>
      </w:r>
    </w:p>
    <w:p w14:paraId="24E719D2" w14:textId="77777777" w:rsidR="00CF702E" w:rsidRPr="0018779D" w:rsidRDefault="00CF702E" w:rsidP="007B2685">
      <w:pPr>
        <w:numPr>
          <w:ilvl w:val="1"/>
          <w:numId w:val="25"/>
        </w:numPr>
        <w:spacing w:after="40" w:line="240" w:lineRule="auto"/>
        <w:contextualSpacing/>
      </w:pPr>
      <w:r w:rsidRPr="0018779D">
        <w:t>Successful modification of symptoms</w:t>
      </w:r>
    </w:p>
    <w:p w14:paraId="24C17EBC" w14:textId="1F22D7E1" w:rsidR="00CF702E" w:rsidRPr="0018779D" w:rsidRDefault="00CF702E" w:rsidP="007B2685">
      <w:pPr>
        <w:numPr>
          <w:ilvl w:val="1"/>
          <w:numId w:val="25"/>
        </w:numPr>
        <w:spacing w:after="40" w:line="240" w:lineRule="auto"/>
        <w:contextualSpacing/>
      </w:pPr>
      <w:r w:rsidRPr="0018779D">
        <w:t>Tolerability of side effects</w:t>
      </w:r>
    </w:p>
    <w:p w14:paraId="02CFE1B2" w14:textId="77777777" w:rsidR="00B3687E" w:rsidRPr="0018779D" w:rsidRDefault="00B3687E" w:rsidP="007B2685">
      <w:pPr>
        <w:numPr>
          <w:ilvl w:val="1"/>
          <w:numId w:val="25"/>
        </w:numPr>
        <w:spacing w:after="40" w:line="240" w:lineRule="auto"/>
        <w:contextualSpacing/>
      </w:pPr>
      <w:r w:rsidRPr="0018779D">
        <w:t>Decision to stop the medication</w:t>
      </w:r>
    </w:p>
    <w:p w14:paraId="7C1211BF" w14:textId="77777777" w:rsidR="00B3687E" w:rsidRPr="0018779D" w:rsidRDefault="00B3687E" w:rsidP="007B2685">
      <w:pPr>
        <w:numPr>
          <w:ilvl w:val="1"/>
          <w:numId w:val="25"/>
        </w:numPr>
        <w:spacing w:after="40" w:line="240" w:lineRule="auto"/>
        <w:contextualSpacing/>
      </w:pPr>
      <w:r w:rsidRPr="0018779D">
        <w:t>Decision to withdrawal from the study</w:t>
      </w:r>
    </w:p>
    <w:p w14:paraId="13E2DCDA" w14:textId="5DD44FB6" w:rsidR="00283AA9" w:rsidRPr="0018779D" w:rsidRDefault="00283AA9" w:rsidP="007B2685">
      <w:pPr>
        <w:tabs>
          <w:tab w:val="left" w:pos="1896"/>
        </w:tabs>
        <w:spacing w:after="40" w:line="240" w:lineRule="auto"/>
        <w:contextualSpacing/>
        <w:rPr>
          <w:b/>
        </w:rPr>
      </w:pPr>
      <w:r w:rsidRPr="0018779D">
        <w:rPr>
          <w:b/>
        </w:rPr>
        <w:t>Criticism:</w:t>
      </w:r>
      <w:r w:rsidRPr="0018779D">
        <w:rPr>
          <w:b/>
        </w:rPr>
        <w:tab/>
      </w:r>
    </w:p>
    <w:p w14:paraId="26AAA6BA" w14:textId="77777777" w:rsidR="00B3687E" w:rsidRPr="0018779D" w:rsidRDefault="00B3687E" w:rsidP="007B2685">
      <w:pPr>
        <w:numPr>
          <w:ilvl w:val="0"/>
          <w:numId w:val="19"/>
        </w:numPr>
        <w:spacing w:after="40" w:line="240" w:lineRule="auto"/>
        <w:contextualSpacing/>
      </w:pPr>
      <w:proofErr w:type="gramStart"/>
      <w:r w:rsidRPr="0018779D">
        <w:t>74%</w:t>
      </w:r>
      <w:proofErr w:type="gramEnd"/>
      <w:r w:rsidRPr="0018779D">
        <w:t xml:space="preserve"> of patients enrolled in the study (part of the “intention to treat” analysis) discontinued their assigned treatment in Phase 1, before 18 months. (Median: 6 months)</w:t>
      </w:r>
    </w:p>
    <w:p w14:paraId="61079EFD" w14:textId="1B4FAC1E" w:rsidR="00B3687E" w:rsidRPr="0018779D" w:rsidRDefault="00893075" w:rsidP="007B2685">
      <w:pPr>
        <w:numPr>
          <w:ilvl w:val="0"/>
          <w:numId w:val="19"/>
        </w:numPr>
        <w:spacing w:after="40" w:line="240" w:lineRule="auto"/>
        <w:contextualSpacing/>
      </w:pPr>
      <w:r w:rsidRPr="0018779D">
        <w:t xml:space="preserve">Med </w:t>
      </w:r>
      <w:r w:rsidR="00B3687E" w:rsidRPr="0018779D">
        <w:t>do</w:t>
      </w:r>
      <w:r w:rsidRPr="0018779D">
        <w:t>ses were based on pharma company recs</w:t>
      </w:r>
      <w:r w:rsidR="00B3687E" w:rsidRPr="0018779D">
        <w:t xml:space="preserve"> rather than by the FDA</w:t>
      </w:r>
    </w:p>
    <w:p w14:paraId="7C6B37E8" w14:textId="23207247" w:rsidR="00B3687E" w:rsidRPr="0018779D" w:rsidRDefault="00B3687E" w:rsidP="007B2685">
      <w:pPr>
        <w:numPr>
          <w:ilvl w:val="0"/>
          <w:numId w:val="19"/>
        </w:numPr>
        <w:spacing w:after="40" w:line="240" w:lineRule="auto"/>
        <w:contextualSpacing/>
      </w:pPr>
      <w:r w:rsidRPr="0018779D">
        <w:t>Nearly 75% of</w:t>
      </w:r>
      <w:r w:rsidR="00F00087">
        <w:t xml:space="preserve"> patients switched from </w:t>
      </w:r>
      <w:proofErr w:type="gramStart"/>
      <w:r w:rsidR="00F00087">
        <w:t>1</w:t>
      </w:r>
      <w:r w:rsidR="00F00087" w:rsidRPr="00F00087">
        <w:rPr>
          <w:vertAlign w:val="superscript"/>
        </w:rPr>
        <w:t>st</w:t>
      </w:r>
      <w:proofErr w:type="gramEnd"/>
      <w:r w:rsidRPr="0018779D">
        <w:t xml:space="preserve"> medi</w:t>
      </w:r>
      <w:r w:rsidR="00893075" w:rsidRPr="0018779D">
        <w:t>cation to a different med</w:t>
      </w:r>
      <w:r w:rsidRPr="0018779D">
        <w:t xml:space="preserve"> during the trial. </w:t>
      </w:r>
    </w:p>
    <w:p w14:paraId="112135B3" w14:textId="20DD2034" w:rsidR="000403B5" w:rsidRPr="0018779D" w:rsidRDefault="00283AA9" w:rsidP="007B2685">
      <w:pPr>
        <w:spacing w:after="40" w:line="240" w:lineRule="auto"/>
        <w:contextualSpacing/>
        <w:rPr>
          <w:b/>
        </w:rPr>
      </w:pPr>
      <w:r w:rsidRPr="0018779D">
        <w:rPr>
          <w:b/>
        </w:rPr>
        <w:t>References:</w:t>
      </w:r>
    </w:p>
    <w:p w14:paraId="4215D969" w14:textId="77777777" w:rsidR="00B34612" w:rsidRPr="0018779D" w:rsidRDefault="000403B5" w:rsidP="007B2685">
      <w:pPr>
        <w:pStyle w:val="ListParagraph"/>
        <w:numPr>
          <w:ilvl w:val="0"/>
          <w:numId w:val="1"/>
        </w:numPr>
        <w:spacing w:after="40" w:line="240" w:lineRule="auto"/>
      </w:pPr>
      <w:r w:rsidRPr="0018779D">
        <w:t xml:space="preserve">NIMH Site on </w:t>
      </w:r>
      <w:r w:rsidR="00B34612" w:rsidRPr="0018779D">
        <w:t>CATIE</w:t>
      </w:r>
      <w:r w:rsidRPr="0018779D">
        <w:t xml:space="preserve">: </w:t>
      </w:r>
      <w:r w:rsidR="00B34612" w:rsidRPr="0018779D">
        <w:t>https://www.nimh.nih.gov/funding/clinicalresearch/practical/catie/phase1results.shtml</w:t>
      </w:r>
    </w:p>
    <w:p w14:paraId="67045107" w14:textId="3908233D" w:rsidR="00FC7406" w:rsidRPr="0018779D" w:rsidRDefault="00FC7406" w:rsidP="007B2685">
      <w:pPr>
        <w:pStyle w:val="ListParagraph"/>
        <w:numPr>
          <w:ilvl w:val="0"/>
          <w:numId w:val="1"/>
        </w:numPr>
        <w:spacing w:after="40" w:line="240" w:lineRule="auto"/>
      </w:pPr>
      <w:proofErr w:type="spellStart"/>
      <w:r w:rsidRPr="0018779D">
        <w:t>McEvoy</w:t>
      </w:r>
      <w:proofErr w:type="spellEnd"/>
      <w:r w:rsidRPr="0018779D">
        <w:t xml:space="preserve">, JP et al. </w:t>
      </w:r>
      <w:r w:rsidR="00893075" w:rsidRPr="0018779D">
        <w:t xml:space="preserve">(2006). </w:t>
      </w:r>
      <w:r w:rsidRPr="0018779D">
        <w:t xml:space="preserve">Effectiveness of Clozapine vs. Olanzapine, Quetiapine and Risperidone in Patients with Chronic Schizophrenia Who Did Not Respond to Prior Atypical Antipsychotic Treatment. </w:t>
      </w:r>
      <w:r w:rsidRPr="0018779D">
        <w:rPr>
          <w:i/>
        </w:rPr>
        <w:t>American Journal of Psychiatry</w:t>
      </w:r>
      <w:r w:rsidR="00893075" w:rsidRPr="0018779D">
        <w:t>, 163: 600-610</w:t>
      </w:r>
      <w:r w:rsidR="00766BE7" w:rsidRPr="0018779D">
        <w:t>.</w:t>
      </w:r>
    </w:p>
    <w:p w14:paraId="502A2734" w14:textId="2BEE76ED" w:rsidR="007C4DBD" w:rsidRPr="00827068" w:rsidRDefault="007C4DBD" w:rsidP="00893075">
      <w:pPr>
        <w:spacing w:after="40"/>
        <w:ind w:left="360"/>
      </w:pPr>
    </w:p>
    <w:sectPr w:rsidR="007C4DBD" w:rsidRPr="00827068" w:rsidSect="0018779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7E4"/>
    <w:multiLevelType w:val="hybridMultilevel"/>
    <w:tmpl w:val="780C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4E88"/>
    <w:multiLevelType w:val="hybridMultilevel"/>
    <w:tmpl w:val="403831F8"/>
    <w:lvl w:ilvl="0" w:tplc="6A84D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47802">
      <w:numFmt w:val="none"/>
      <w:lvlText w:val=""/>
      <w:lvlJc w:val="left"/>
      <w:pPr>
        <w:tabs>
          <w:tab w:val="num" w:pos="360"/>
        </w:tabs>
      </w:pPr>
    </w:lvl>
    <w:lvl w:ilvl="2" w:tplc="580AE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28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C4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C2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B2A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2B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C3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8B0EE6"/>
    <w:multiLevelType w:val="hybridMultilevel"/>
    <w:tmpl w:val="2AE03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056AD"/>
    <w:multiLevelType w:val="hybridMultilevel"/>
    <w:tmpl w:val="D80A7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807E8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26BA4">
      <w:start w:val="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C1E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C3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8A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05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EE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E0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C828D3"/>
    <w:multiLevelType w:val="hybridMultilevel"/>
    <w:tmpl w:val="DB3E7E9A"/>
    <w:lvl w:ilvl="0" w:tplc="40126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807E8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26BA4">
      <w:start w:val="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C1E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C3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8A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05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EE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E0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5F2383"/>
    <w:multiLevelType w:val="hybridMultilevel"/>
    <w:tmpl w:val="3FA28336"/>
    <w:lvl w:ilvl="0" w:tplc="2ACEA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6EA48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E3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002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0C2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E1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4D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6ED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2AA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0B4470"/>
    <w:multiLevelType w:val="hybridMultilevel"/>
    <w:tmpl w:val="746CC5FA"/>
    <w:lvl w:ilvl="0" w:tplc="7E5C1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47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C6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3A7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E3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6E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1E1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E9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63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8B7104"/>
    <w:multiLevelType w:val="hybridMultilevel"/>
    <w:tmpl w:val="E51CE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E51F0"/>
    <w:multiLevelType w:val="hybridMultilevel"/>
    <w:tmpl w:val="4F92F808"/>
    <w:lvl w:ilvl="0" w:tplc="FD984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BE2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28B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A7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6C3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6B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49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2F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89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02528B"/>
    <w:multiLevelType w:val="hybridMultilevel"/>
    <w:tmpl w:val="D690E04E"/>
    <w:lvl w:ilvl="0" w:tplc="40126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526BA4">
      <w:start w:val="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C1E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C3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8A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05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EE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E0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C125733"/>
    <w:multiLevelType w:val="hybridMultilevel"/>
    <w:tmpl w:val="246ED8A0"/>
    <w:lvl w:ilvl="0" w:tplc="F28EC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ADAFC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A2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E4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542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42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29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6A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65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741505"/>
    <w:multiLevelType w:val="hybridMultilevel"/>
    <w:tmpl w:val="1E24C458"/>
    <w:lvl w:ilvl="0" w:tplc="15803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0D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AE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0C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20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EE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0E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6E6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80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2425367"/>
    <w:multiLevelType w:val="hybridMultilevel"/>
    <w:tmpl w:val="9D6E2796"/>
    <w:lvl w:ilvl="0" w:tplc="29D07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6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24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62F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8A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AF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E62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A43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CA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4B12F31"/>
    <w:multiLevelType w:val="hybridMultilevel"/>
    <w:tmpl w:val="64F22B90"/>
    <w:lvl w:ilvl="0" w:tplc="A9C47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40FF8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8285E">
      <w:start w:val="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2C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08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23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C0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6F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F61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A76933"/>
    <w:multiLevelType w:val="hybridMultilevel"/>
    <w:tmpl w:val="4EA479E8"/>
    <w:lvl w:ilvl="0" w:tplc="43EE9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03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81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6C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05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20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E4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81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842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E5F6687"/>
    <w:multiLevelType w:val="hybridMultilevel"/>
    <w:tmpl w:val="A91A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F5A7A"/>
    <w:multiLevelType w:val="hybridMultilevel"/>
    <w:tmpl w:val="6300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B62F7"/>
    <w:multiLevelType w:val="hybridMultilevel"/>
    <w:tmpl w:val="B4F46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783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66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07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1E2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64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98B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49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8ED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DE156E3"/>
    <w:multiLevelType w:val="hybridMultilevel"/>
    <w:tmpl w:val="2C867E86"/>
    <w:lvl w:ilvl="0" w:tplc="467A0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83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66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07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1E2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64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98B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49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8ED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9B3354E"/>
    <w:multiLevelType w:val="hybridMultilevel"/>
    <w:tmpl w:val="3E9EA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807E8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26BA4">
      <w:start w:val="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C1E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C3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8A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05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EE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E0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9CF7E11"/>
    <w:multiLevelType w:val="hybridMultilevel"/>
    <w:tmpl w:val="3EAA6FE8"/>
    <w:lvl w:ilvl="0" w:tplc="40126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526BA4">
      <w:start w:val="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C1E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C3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8A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05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EE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E0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BF85175"/>
    <w:multiLevelType w:val="hybridMultilevel"/>
    <w:tmpl w:val="7A8A74EE"/>
    <w:lvl w:ilvl="0" w:tplc="31281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6C486C">
      <w:numFmt w:val="none"/>
      <w:lvlText w:val=""/>
      <w:lvlJc w:val="left"/>
      <w:pPr>
        <w:tabs>
          <w:tab w:val="num" w:pos="360"/>
        </w:tabs>
      </w:pPr>
    </w:lvl>
    <w:lvl w:ilvl="2" w:tplc="DB1AF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29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68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09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825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8F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ED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D0F2A7E"/>
    <w:multiLevelType w:val="hybridMultilevel"/>
    <w:tmpl w:val="B1B27CE6"/>
    <w:lvl w:ilvl="0" w:tplc="1D268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EE53A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E85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25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63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4AC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47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6F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0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46D4936"/>
    <w:multiLevelType w:val="hybridMultilevel"/>
    <w:tmpl w:val="D602A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786047"/>
    <w:multiLevelType w:val="hybridMultilevel"/>
    <w:tmpl w:val="9E080412"/>
    <w:lvl w:ilvl="0" w:tplc="A5204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3C60B2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368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49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A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C8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B87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6E1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AD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D422BBF"/>
    <w:multiLevelType w:val="hybridMultilevel"/>
    <w:tmpl w:val="DFA65CA4"/>
    <w:lvl w:ilvl="0" w:tplc="55FE5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0B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E4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43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0A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A5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EC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A0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92C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24"/>
  </w:num>
  <w:num w:numId="4">
    <w:abstractNumId w:val="13"/>
  </w:num>
  <w:num w:numId="5">
    <w:abstractNumId w:val="22"/>
  </w:num>
  <w:num w:numId="6">
    <w:abstractNumId w:val="5"/>
  </w:num>
  <w:num w:numId="7">
    <w:abstractNumId w:val="10"/>
  </w:num>
  <w:num w:numId="8">
    <w:abstractNumId w:val="15"/>
  </w:num>
  <w:num w:numId="9">
    <w:abstractNumId w:val="16"/>
  </w:num>
  <w:num w:numId="10">
    <w:abstractNumId w:val="6"/>
  </w:num>
  <w:num w:numId="11">
    <w:abstractNumId w:val="25"/>
  </w:num>
  <w:num w:numId="12">
    <w:abstractNumId w:val="8"/>
  </w:num>
  <w:num w:numId="13">
    <w:abstractNumId w:val="14"/>
  </w:num>
  <w:num w:numId="14">
    <w:abstractNumId w:val="18"/>
  </w:num>
  <w:num w:numId="15">
    <w:abstractNumId w:val="21"/>
  </w:num>
  <w:num w:numId="16">
    <w:abstractNumId w:val="1"/>
  </w:num>
  <w:num w:numId="17">
    <w:abstractNumId w:val="12"/>
  </w:num>
  <w:num w:numId="18">
    <w:abstractNumId w:val="11"/>
  </w:num>
  <w:num w:numId="19">
    <w:abstractNumId w:val="17"/>
  </w:num>
  <w:num w:numId="20">
    <w:abstractNumId w:val="23"/>
  </w:num>
  <w:num w:numId="21">
    <w:abstractNumId w:val="7"/>
  </w:num>
  <w:num w:numId="22">
    <w:abstractNumId w:val="0"/>
  </w:num>
  <w:num w:numId="23">
    <w:abstractNumId w:val="3"/>
  </w:num>
  <w:num w:numId="24">
    <w:abstractNumId w:val="19"/>
  </w:num>
  <w:num w:numId="25">
    <w:abstractNumId w:val="2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B5"/>
    <w:rsid w:val="00004DBE"/>
    <w:rsid w:val="00006981"/>
    <w:rsid w:val="00015F76"/>
    <w:rsid w:val="00037B5F"/>
    <w:rsid w:val="000403B5"/>
    <w:rsid w:val="00046B2F"/>
    <w:rsid w:val="00081EB1"/>
    <w:rsid w:val="00134CE2"/>
    <w:rsid w:val="0018779D"/>
    <w:rsid w:val="001E2BDE"/>
    <w:rsid w:val="00227CB8"/>
    <w:rsid w:val="00232F88"/>
    <w:rsid w:val="00283AA9"/>
    <w:rsid w:val="002B2687"/>
    <w:rsid w:val="003C5E9B"/>
    <w:rsid w:val="00480E97"/>
    <w:rsid w:val="005915EA"/>
    <w:rsid w:val="00611F9B"/>
    <w:rsid w:val="0063324F"/>
    <w:rsid w:val="00680365"/>
    <w:rsid w:val="006B2CCE"/>
    <w:rsid w:val="006E671A"/>
    <w:rsid w:val="00766BE7"/>
    <w:rsid w:val="007B2685"/>
    <w:rsid w:val="007C4DBD"/>
    <w:rsid w:val="00827068"/>
    <w:rsid w:val="008323C6"/>
    <w:rsid w:val="00893075"/>
    <w:rsid w:val="008B5EDF"/>
    <w:rsid w:val="009202B2"/>
    <w:rsid w:val="00937E5F"/>
    <w:rsid w:val="00951626"/>
    <w:rsid w:val="00A22D1B"/>
    <w:rsid w:val="00B34612"/>
    <w:rsid w:val="00B3687E"/>
    <w:rsid w:val="00B9360E"/>
    <w:rsid w:val="00CF702E"/>
    <w:rsid w:val="00DC7A1C"/>
    <w:rsid w:val="00EE1332"/>
    <w:rsid w:val="00F00087"/>
    <w:rsid w:val="00F657AC"/>
    <w:rsid w:val="00FC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0B8C3"/>
  <w15:docId w15:val="{BF6668AB-0DFA-4E19-95EF-618A4862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3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3B5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2706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346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50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8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73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9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0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9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3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0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23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3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3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5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9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2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6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11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25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5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71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7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0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2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0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9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3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0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3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00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4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12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0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7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9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9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3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3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2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3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1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5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A7222-2FE7-42A9-9116-B492B697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Warnick, Stephen</dc:creator>
  <cp:keywords/>
  <dc:description/>
  <cp:lastModifiedBy>Brubaker, Sarah (brubaksl)</cp:lastModifiedBy>
  <cp:revision>10</cp:revision>
  <dcterms:created xsi:type="dcterms:W3CDTF">2017-09-11T14:28:00Z</dcterms:created>
  <dcterms:modified xsi:type="dcterms:W3CDTF">2017-09-11T18:06:00Z</dcterms:modified>
</cp:coreProperties>
</file>