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305" w14:textId="77777777" w:rsidR="00400D63" w:rsidRPr="001621CE" w:rsidRDefault="00400D63" w:rsidP="00400D6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621CE">
        <w:rPr>
          <w:b/>
          <w:bCs/>
          <w:sz w:val="24"/>
          <w:szCs w:val="24"/>
        </w:rPr>
        <w:t>Small Group Breakout Session</w:t>
      </w:r>
    </w:p>
    <w:p w14:paraId="1F4FDE1B" w14:textId="5A81F22F" w:rsidR="00400D63" w:rsidRPr="001621CE" w:rsidRDefault="00400D63" w:rsidP="00400D63">
      <w:pPr>
        <w:spacing w:after="0" w:line="240" w:lineRule="auto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Facilitator</w:t>
      </w:r>
      <w:r w:rsidRPr="001621CE">
        <w:rPr>
          <w:i/>
          <w:iCs/>
          <w:sz w:val="24"/>
          <w:szCs w:val="24"/>
        </w:rPr>
        <w:t xml:space="preserve"> Version</w:t>
      </w:r>
    </w:p>
    <w:p w14:paraId="1383435B" w14:textId="77777777" w:rsidR="00D45B3A" w:rsidRDefault="00D45B3A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096E85DA" w14:textId="49392E39" w:rsidR="00E867E8" w:rsidRPr="00E867E8" w:rsidRDefault="00F540A3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Facilitator</w:t>
      </w:r>
      <w:r w:rsidR="003B245E">
        <w:rPr>
          <w:rFonts w:cstheme="minorHAnsi"/>
          <w:b/>
          <w:bCs/>
          <w:sz w:val="20"/>
          <w:szCs w:val="20"/>
        </w:rPr>
        <w:t xml:space="preserve"> Guide</w:t>
      </w:r>
    </w:p>
    <w:p w14:paraId="27C9FEB4" w14:textId="701D35DE" w:rsidR="00B620EB" w:rsidRPr="00E867E8" w:rsidRDefault="00F466DF" w:rsidP="00E867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867E8">
        <w:rPr>
          <w:rFonts w:cstheme="minorHAnsi"/>
          <w:sz w:val="20"/>
          <w:szCs w:val="20"/>
          <w:u w:val="single"/>
        </w:rPr>
        <w:t xml:space="preserve">Before the </w:t>
      </w:r>
      <w:r w:rsidR="00E867E8">
        <w:rPr>
          <w:rFonts w:cstheme="minorHAnsi"/>
          <w:sz w:val="20"/>
          <w:szCs w:val="20"/>
          <w:u w:val="single"/>
        </w:rPr>
        <w:t>W</w:t>
      </w:r>
      <w:r w:rsidRPr="00E867E8">
        <w:rPr>
          <w:rFonts w:cstheme="minorHAnsi"/>
          <w:sz w:val="20"/>
          <w:szCs w:val="20"/>
          <w:u w:val="single"/>
        </w:rPr>
        <w:t>orkshop</w:t>
      </w:r>
      <w:r w:rsidR="00E867E8">
        <w:rPr>
          <w:rFonts w:cstheme="minorHAnsi"/>
          <w:sz w:val="20"/>
          <w:szCs w:val="20"/>
        </w:rPr>
        <w:t>: I</w:t>
      </w:r>
      <w:r w:rsidRPr="00E867E8">
        <w:rPr>
          <w:rFonts w:cstheme="minorHAnsi"/>
          <w:sz w:val="20"/>
          <w:szCs w:val="20"/>
        </w:rPr>
        <w:t xml:space="preserve">t is important to become familiar with the </w:t>
      </w:r>
      <w:r w:rsidR="003D2193" w:rsidRPr="00E867E8">
        <w:rPr>
          <w:rFonts w:cstheme="minorHAnsi"/>
          <w:sz w:val="20"/>
          <w:szCs w:val="20"/>
        </w:rPr>
        <w:t xml:space="preserve">Race and </w:t>
      </w:r>
      <w:r w:rsidRPr="00E867E8">
        <w:rPr>
          <w:rFonts w:cstheme="minorHAnsi"/>
          <w:sz w:val="20"/>
          <w:szCs w:val="20"/>
        </w:rPr>
        <w:t>Guide</w:t>
      </w:r>
      <w:r w:rsidR="00D17A0B" w:rsidRPr="00E867E8">
        <w:rPr>
          <w:rFonts w:cstheme="minorHAnsi"/>
          <w:sz w:val="20"/>
          <w:szCs w:val="20"/>
        </w:rPr>
        <w:t xml:space="preserve"> </w:t>
      </w:r>
      <w:r w:rsidR="003D2193" w:rsidRPr="00E867E8">
        <w:rPr>
          <w:rFonts w:cstheme="minorHAnsi"/>
          <w:sz w:val="20"/>
          <w:szCs w:val="20"/>
        </w:rPr>
        <w:t xml:space="preserve">for Editors of Teaching Cases </w:t>
      </w:r>
      <w:r w:rsidR="00D17A0B" w:rsidRPr="00E867E8">
        <w:rPr>
          <w:rFonts w:cstheme="minorHAnsi"/>
          <w:sz w:val="20"/>
          <w:szCs w:val="20"/>
        </w:rPr>
        <w:t>(full reference</w:t>
      </w:r>
      <w:r w:rsidR="00347CA4" w:rsidRPr="00E867E8">
        <w:rPr>
          <w:rFonts w:cstheme="minorHAnsi"/>
          <w:sz w:val="20"/>
          <w:szCs w:val="20"/>
        </w:rPr>
        <w:t xml:space="preserve"> below) which can be found in Supplement Digital Appendix 1. </w:t>
      </w:r>
    </w:p>
    <w:p w14:paraId="4B10C6DE" w14:textId="77777777" w:rsidR="003D2193" w:rsidRDefault="003D2193" w:rsidP="003D219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2F2A901" w14:textId="3CA2C29D" w:rsidR="0027245B" w:rsidRPr="0027245B" w:rsidRDefault="0027245B" w:rsidP="00E867E8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 w:rsidRPr="0027245B">
        <w:rPr>
          <w:rFonts w:cstheme="minorHAnsi"/>
          <w:sz w:val="18"/>
          <w:szCs w:val="18"/>
        </w:rPr>
        <w:t xml:space="preserve">Krishnan A, Rabinowitz M, Ziminsky A, Scott SM, Chretien KC. Addressing Race, Culture, and Structural Inequality in Medical Education: A Guide for Revising Teaching Cases. </w:t>
      </w:r>
      <w:r w:rsidRPr="0027245B">
        <w:rPr>
          <w:rFonts w:cstheme="minorHAnsi"/>
          <w:i/>
          <w:iCs/>
          <w:sz w:val="18"/>
          <w:szCs w:val="18"/>
        </w:rPr>
        <w:t>Academic Medicine</w:t>
      </w:r>
      <w:r w:rsidRPr="0027245B">
        <w:rPr>
          <w:rFonts w:cstheme="minorHAnsi"/>
          <w:sz w:val="18"/>
          <w:szCs w:val="18"/>
        </w:rPr>
        <w:t>. 2019;94(4):550-555. doi:</w:t>
      </w:r>
      <w:hyperlink r:id="rId7" w:history="1">
        <w:r w:rsidRPr="0027245B">
          <w:rPr>
            <w:rStyle w:val="Hyperlink"/>
            <w:rFonts w:cstheme="minorHAnsi"/>
            <w:sz w:val="18"/>
            <w:szCs w:val="18"/>
          </w:rPr>
          <w:t>10.1097/ACM.0000000000002589</w:t>
        </w:r>
      </w:hyperlink>
    </w:p>
    <w:p w14:paraId="615755F1" w14:textId="77777777" w:rsidR="003D2193" w:rsidRDefault="003D2193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C97624C" w14:textId="15D34A48" w:rsidR="00CC6F9E" w:rsidRDefault="00E867E8" w:rsidP="00E867E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E867E8">
        <w:rPr>
          <w:rFonts w:cstheme="minorHAnsi"/>
          <w:sz w:val="20"/>
          <w:szCs w:val="20"/>
          <w:u w:val="single"/>
        </w:rPr>
        <w:t xml:space="preserve">During </w:t>
      </w:r>
      <w:r>
        <w:rPr>
          <w:rFonts w:cstheme="minorHAnsi"/>
          <w:sz w:val="20"/>
          <w:szCs w:val="20"/>
          <w:u w:val="single"/>
        </w:rPr>
        <w:t>S</w:t>
      </w:r>
      <w:r w:rsidRPr="00E867E8">
        <w:rPr>
          <w:rFonts w:cstheme="minorHAnsi"/>
          <w:sz w:val="20"/>
          <w:szCs w:val="20"/>
          <w:u w:val="single"/>
        </w:rPr>
        <w:t xml:space="preserve">mall </w:t>
      </w:r>
      <w:r>
        <w:rPr>
          <w:rFonts w:cstheme="minorHAnsi"/>
          <w:sz w:val="20"/>
          <w:szCs w:val="20"/>
          <w:u w:val="single"/>
        </w:rPr>
        <w:t>G</w:t>
      </w:r>
      <w:r w:rsidRPr="00E867E8">
        <w:rPr>
          <w:rFonts w:cstheme="minorHAnsi"/>
          <w:sz w:val="20"/>
          <w:szCs w:val="20"/>
          <w:u w:val="single"/>
        </w:rPr>
        <w:t xml:space="preserve">roup </w:t>
      </w:r>
      <w:r>
        <w:rPr>
          <w:rFonts w:cstheme="minorHAnsi"/>
          <w:sz w:val="20"/>
          <w:szCs w:val="20"/>
          <w:u w:val="single"/>
        </w:rPr>
        <w:t>D</w:t>
      </w:r>
      <w:r w:rsidRPr="00E867E8">
        <w:rPr>
          <w:rFonts w:cstheme="minorHAnsi"/>
          <w:sz w:val="20"/>
          <w:szCs w:val="20"/>
          <w:u w:val="single"/>
        </w:rPr>
        <w:t>iscussion</w:t>
      </w:r>
      <w:r>
        <w:rPr>
          <w:rFonts w:cstheme="minorHAnsi"/>
          <w:sz w:val="20"/>
          <w:szCs w:val="20"/>
        </w:rPr>
        <w:t xml:space="preserve">: </w:t>
      </w:r>
      <w:r w:rsidRPr="000C0A48">
        <w:rPr>
          <w:rFonts w:cstheme="minorHAnsi"/>
          <w:sz w:val="20"/>
          <w:szCs w:val="20"/>
        </w:rPr>
        <w:t xml:space="preserve">The following are two </w:t>
      </w:r>
      <w:r>
        <w:rPr>
          <w:rFonts w:cstheme="minorHAnsi"/>
          <w:sz w:val="20"/>
          <w:szCs w:val="20"/>
        </w:rPr>
        <w:t>supplemental cases that can be used to help participants use and apply the Race and Culture Guide.</w:t>
      </w:r>
    </w:p>
    <w:p w14:paraId="6349896C" w14:textId="5D1046D6" w:rsidR="00CC6F9E" w:rsidRDefault="00CC6F9E" w:rsidP="00CC6F9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63EF8">
        <w:rPr>
          <w:rFonts w:cstheme="minorHAnsi"/>
          <w:i/>
          <w:iCs/>
          <w:sz w:val="20"/>
          <w:szCs w:val="20"/>
        </w:rPr>
        <w:t>Orientation:</w:t>
      </w:r>
      <w:r w:rsidRPr="00CC6F9E">
        <w:rPr>
          <w:rFonts w:cstheme="minorHAnsi"/>
          <w:sz w:val="20"/>
          <w:szCs w:val="20"/>
        </w:rPr>
        <w:t xml:space="preserve"> </w:t>
      </w:r>
      <w:r w:rsidR="00E867E8" w:rsidRPr="00CC6F9E">
        <w:rPr>
          <w:rFonts w:cstheme="minorHAnsi"/>
          <w:sz w:val="20"/>
          <w:szCs w:val="20"/>
        </w:rPr>
        <w:t>At</w:t>
      </w:r>
      <w:r w:rsidR="00E867E8">
        <w:rPr>
          <w:rFonts w:cstheme="minorHAnsi"/>
          <w:sz w:val="20"/>
          <w:szCs w:val="20"/>
        </w:rPr>
        <w:t xml:space="preserve"> the beginning of the breakout session, introduce yourself and allow for quick introductions of all group members. Make sure each participant has the participant version of the </w:t>
      </w:r>
      <w:r w:rsidR="00211FBE">
        <w:rPr>
          <w:rFonts w:cstheme="minorHAnsi"/>
          <w:sz w:val="20"/>
          <w:szCs w:val="20"/>
        </w:rPr>
        <w:t xml:space="preserve">supplemental/real </w:t>
      </w:r>
      <w:r w:rsidR="00E867E8">
        <w:rPr>
          <w:rFonts w:cstheme="minorHAnsi"/>
          <w:sz w:val="20"/>
          <w:szCs w:val="20"/>
        </w:rPr>
        <w:t xml:space="preserve">cases. The facilitator version </w:t>
      </w:r>
      <w:r w:rsidR="00211FBE">
        <w:rPr>
          <w:rFonts w:cstheme="minorHAnsi"/>
          <w:sz w:val="20"/>
          <w:szCs w:val="20"/>
        </w:rPr>
        <w:t xml:space="preserve">of the supplemental cases </w:t>
      </w:r>
      <w:r w:rsidR="00E867E8">
        <w:rPr>
          <w:rFonts w:cstheme="minorHAnsi"/>
          <w:sz w:val="20"/>
          <w:szCs w:val="20"/>
        </w:rPr>
        <w:t>has a facilitator note about the case</w:t>
      </w:r>
      <w:r>
        <w:rPr>
          <w:rFonts w:cstheme="minorHAnsi"/>
          <w:sz w:val="20"/>
          <w:szCs w:val="20"/>
        </w:rPr>
        <w:t xml:space="preserve">. </w:t>
      </w:r>
      <w:r w:rsidR="00211FBE">
        <w:rPr>
          <w:rFonts w:cstheme="minorHAnsi"/>
          <w:sz w:val="20"/>
          <w:szCs w:val="20"/>
        </w:rPr>
        <w:t xml:space="preserve">Additionally, there are </w:t>
      </w:r>
      <w:r>
        <w:rPr>
          <w:rFonts w:cstheme="minorHAnsi"/>
          <w:sz w:val="20"/>
          <w:szCs w:val="20"/>
        </w:rPr>
        <w:t>problematic components to the case</w:t>
      </w:r>
      <w:r w:rsidR="00211FBE">
        <w:rPr>
          <w:rFonts w:cstheme="minorHAnsi"/>
          <w:sz w:val="20"/>
          <w:szCs w:val="20"/>
        </w:rPr>
        <w:t>s highlighted in red font</w:t>
      </w:r>
      <w:r>
        <w:rPr>
          <w:rFonts w:cstheme="minorHAnsi"/>
          <w:sz w:val="20"/>
          <w:szCs w:val="20"/>
        </w:rPr>
        <w:t>.</w:t>
      </w:r>
    </w:p>
    <w:p w14:paraId="7DE40E12" w14:textId="046AEC0A" w:rsidR="00E867E8" w:rsidRDefault="00C63EF8" w:rsidP="00CC6F9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C63EF8">
        <w:rPr>
          <w:rFonts w:cstheme="minorHAnsi"/>
          <w:i/>
          <w:iCs/>
          <w:sz w:val="20"/>
          <w:szCs w:val="20"/>
        </w:rPr>
        <w:t>Supplemental Cases:</w:t>
      </w:r>
      <w:r>
        <w:rPr>
          <w:rFonts w:cstheme="minorHAnsi"/>
          <w:sz w:val="20"/>
          <w:szCs w:val="20"/>
        </w:rPr>
        <w:t xml:space="preserve"> </w:t>
      </w:r>
      <w:r w:rsidR="00E867E8">
        <w:rPr>
          <w:rFonts w:cstheme="minorHAnsi"/>
          <w:sz w:val="20"/>
          <w:szCs w:val="20"/>
        </w:rPr>
        <w:t xml:space="preserve">Ask one of the participants to read the case aloud. </w:t>
      </w:r>
      <w:r w:rsidR="004F2604">
        <w:rPr>
          <w:rFonts w:cstheme="minorHAnsi"/>
          <w:sz w:val="20"/>
          <w:szCs w:val="20"/>
        </w:rPr>
        <w:t xml:space="preserve">After reading it aloud, ask participants to reflect on the case and ask if there are any </w:t>
      </w:r>
      <w:r w:rsidR="00E17390">
        <w:rPr>
          <w:rFonts w:cstheme="minorHAnsi"/>
          <w:sz w:val="20"/>
          <w:szCs w:val="20"/>
        </w:rPr>
        <w:t xml:space="preserve">problematic aspects that stick out. Reference the Race and Culture Guide for assistance. </w:t>
      </w:r>
      <w:r w:rsidR="00C225EC">
        <w:rPr>
          <w:rFonts w:cstheme="minorHAnsi"/>
          <w:sz w:val="20"/>
          <w:szCs w:val="20"/>
        </w:rPr>
        <w:t xml:space="preserve">If conversation slows, ask participants about </w:t>
      </w:r>
      <w:r w:rsidR="00A03631">
        <w:rPr>
          <w:rFonts w:cstheme="minorHAnsi"/>
          <w:sz w:val="20"/>
          <w:szCs w:val="20"/>
        </w:rPr>
        <w:t xml:space="preserve">red </w:t>
      </w:r>
      <w:r w:rsidR="00211FBE">
        <w:rPr>
          <w:rFonts w:cstheme="minorHAnsi"/>
          <w:sz w:val="20"/>
          <w:szCs w:val="20"/>
        </w:rPr>
        <w:t>font</w:t>
      </w:r>
      <w:r w:rsidR="005577C2">
        <w:rPr>
          <w:rFonts w:cstheme="minorHAnsi"/>
          <w:sz w:val="20"/>
          <w:szCs w:val="20"/>
        </w:rPr>
        <w:t xml:space="preserve"> highlights and why it might be problematic when it comes to case-based learning</w:t>
      </w:r>
      <w:r w:rsidR="007C35F7">
        <w:rPr>
          <w:rFonts w:cstheme="minorHAnsi"/>
          <w:sz w:val="20"/>
          <w:szCs w:val="20"/>
        </w:rPr>
        <w:t>.</w:t>
      </w:r>
    </w:p>
    <w:p w14:paraId="2BA3850C" w14:textId="1BBBD9D2" w:rsidR="007C35F7" w:rsidRDefault="035380D7" w:rsidP="00CC6F9E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8BBB4F8">
        <w:rPr>
          <w:i/>
          <w:iCs/>
          <w:sz w:val="20"/>
          <w:szCs w:val="20"/>
        </w:rPr>
        <w:t>Existing</w:t>
      </w:r>
      <w:r w:rsidR="007C35F7" w:rsidRPr="08BBB4F8">
        <w:rPr>
          <w:i/>
          <w:sz w:val="20"/>
          <w:szCs w:val="20"/>
        </w:rPr>
        <w:t xml:space="preserve"> Cases: </w:t>
      </w:r>
      <w:r w:rsidR="007C35F7" w:rsidRPr="08BBB4F8">
        <w:rPr>
          <w:sz w:val="20"/>
          <w:szCs w:val="20"/>
        </w:rPr>
        <w:t xml:space="preserve">If the group will be </w:t>
      </w:r>
      <w:r w:rsidR="00AB5F0D" w:rsidRPr="08BBB4F8">
        <w:rPr>
          <w:sz w:val="20"/>
          <w:szCs w:val="20"/>
        </w:rPr>
        <w:t>editing</w:t>
      </w:r>
      <w:r w:rsidR="007C35F7" w:rsidRPr="08BBB4F8">
        <w:rPr>
          <w:sz w:val="20"/>
          <w:szCs w:val="20"/>
        </w:rPr>
        <w:t xml:space="preserve"> </w:t>
      </w:r>
      <w:r w:rsidR="0BA25ABB" w:rsidRPr="08BBB4F8">
        <w:rPr>
          <w:sz w:val="20"/>
          <w:szCs w:val="20"/>
        </w:rPr>
        <w:t>existing teaching</w:t>
      </w:r>
      <w:r w:rsidR="007C35F7" w:rsidRPr="08BBB4F8">
        <w:rPr>
          <w:sz w:val="20"/>
          <w:szCs w:val="20"/>
        </w:rPr>
        <w:t xml:space="preserve"> cases</w:t>
      </w:r>
      <w:r w:rsidR="009C58EE" w:rsidRPr="08BBB4F8">
        <w:rPr>
          <w:sz w:val="20"/>
          <w:szCs w:val="20"/>
        </w:rPr>
        <w:t xml:space="preserve">, it will be important to create a safe space where individuals </w:t>
      </w:r>
      <w:r w:rsidR="00A976FA" w:rsidRPr="08BBB4F8">
        <w:rPr>
          <w:sz w:val="20"/>
          <w:szCs w:val="20"/>
        </w:rPr>
        <w:t xml:space="preserve">can freely express critiques, </w:t>
      </w:r>
      <w:r w:rsidR="009C58EE" w:rsidRPr="08BBB4F8">
        <w:rPr>
          <w:sz w:val="20"/>
          <w:szCs w:val="20"/>
        </w:rPr>
        <w:t>especially if the original case writer is present</w:t>
      </w:r>
      <w:r w:rsidR="00A976FA" w:rsidRPr="08BBB4F8">
        <w:rPr>
          <w:sz w:val="20"/>
          <w:szCs w:val="20"/>
        </w:rPr>
        <w:t xml:space="preserve">. </w:t>
      </w:r>
    </w:p>
    <w:p w14:paraId="7441E22C" w14:textId="50BA48C4" w:rsidR="00AB5F0D" w:rsidRPr="00E867E8" w:rsidRDefault="00AB5F0D" w:rsidP="00CC6F9E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Timing: </w:t>
      </w:r>
      <w:r w:rsidR="009768A1">
        <w:rPr>
          <w:rFonts w:cstheme="minorHAnsi"/>
          <w:sz w:val="20"/>
          <w:szCs w:val="20"/>
        </w:rPr>
        <w:t>As a facilitator, make</w:t>
      </w:r>
      <w:r>
        <w:rPr>
          <w:rFonts w:cstheme="minorHAnsi"/>
          <w:sz w:val="20"/>
          <w:szCs w:val="20"/>
        </w:rPr>
        <w:t xml:space="preserve"> sure to keep track of time</w:t>
      </w:r>
      <w:r w:rsidR="009768A1">
        <w:rPr>
          <w:rFonts w:cstheme="minorHAnsi"/>
          <w:sz w:val="20"/>
          <w:szCs w:val="20"/>
        </w:rPr>
        <w:t xml:space="preserve"> for the group. While there might be great conversation happening about the case</w:t>
      </w:r>
      <w:r w:rsidR="00696F67">
        <w:rPr>
          <w:rFonts w:cstheme="minorHAnsi"/>
          <w:sz w:val="20"/>
          <w:szCs w:val="20"/>
        </w:rPr>
        <w:t xml:space="preserve">, it is important for the group to suggest edits to the cases. </w:t>
      </w:r>
      <w:r w:rsidR="00CB0FDA">
        <w:rPr>
          <w:rFonts w:cstheme="minorHAnsi"/>
          <w:sz w:val="20"/>
          <w:szCs w:val="20"/>
        </w:rPr>
        <w:t>The supplemental cases are here to help individuals become familiar with editing teaching cases using the Race and Culture Guide</w:t>
      </w:r>
      <w:r w:rsidR="00A5503C">
        <w:rPr>
          <w:rFonts w:cstheme="minorHAnsi"/>
          <w:sz w:val="20"/>
          <w:szCs w:val="20"/>
        </w:rPr>
        <w:t>. However, if time is limited it is important to give time to editing any real cases.</w:t>
      </w:r>
    </w:p>
    <w:p w14:paraId="7DF25168" w14:textId="77777777" w:rsidR="003B245E" w:rsidRDefault="003B245E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35D0590F" w14:textId="77777777" w:rsidR="00BB60A8" w:rsidRDefault="00BB60A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4B6D53F3" w14:textId="01A51983" w:rsidR="000716AA" w:rsidRDefault="00161F74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lastRenderedPageBreak/>
        <w:t>Case 1 – Case Vignette-Style Question of Patient with Diabetic Nephropathy</w:t>
      </w:r>
      <w:r w:rsidR="006B1838">
        <w:rPr>
          <w:rFonts w:cstheme="minorHAnsi"/>
          <w:b/>
          <w:bCs/>
          <w:sz w:val="20"/>
          <w:szCs w:val="20"/>
        </w:rPr>
        <w:t xml:space="preserve"> </w:t>
      </w:r>
    </w:p>
    <w:p w14:paraId="5B8F1C7B" w14:textId="64DE62F1" w:rsidR="00161F74" w:rsidRPr="000716AA" w:rsidRDefault="00DD5D73" w:rsidP="00161F74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  <w:r w:rsidRPr="000716AA">
        <w:rPr>
          <w:rFonts w:cstheme="minorHAnsi"/>
          <w:i/>
          <w:iCs/>
          <w:sz w:val="20"/>
          <w:szCs w:val="20"/>
        </w:rPr>
        <w:t>(</w:t>
      </w:r>
      <w:r w:rsidRPr="000716AA">
        <w:rPr>
          <w:rFonts w:cstheme="minorHAnsi"/>
          <w:i/>
          <w:iCs/>
          <w:sz w:val="20"/>
          <w:szCs w:val="20"/>
          <w:u w:val="single"/>
        </w:rPr>
        <w:t xml:space="preserve">Facilitator </w:t>
      </w:r>
      <w:r w:rsidR="0035575B" w:rsidRPr="000716AA">
        <w:rPr>
          <w:rFonts w:cstheme="minorHAnsi"/>
          <w:i/>
          <w:iCs/>
          <w:sz w:val="20"/>
          <w:szCs w:val="20"/>
          <w:u w:val="single"/>
        </w:rPr>
        <w:t>Note:</w:t>
      </w:r>
      <w:r w:rsidR="0035575B" w:rsidRPr="000716AA">
        <w:rPr>
          <w:rFonts w:cstheme="minorHAnsi"/>
          <w:i/>
          <w:iCs/>
          <w:sz w:val="20"/>
          <w:szCs w:val="20"/>
        </w:rPr>
        <w:t xml:space="preserve"> This case depicts a Black man as being non-compliant</w:t>
      </w:r>
      <w:r w:rsidRPr="000716AA">
        <w:rPr>
          <w:rFonts w:cstheme="minorHAnsi"/>
          <w:i/>
          <w:iCs/>
          <w:sz w:val="20"/>
          <w:szCs w:val="20"/>
        </w:rPr>
        <w:t xml:space="preserve"> and assumes that his behaviors are why his condition worsened. The rationale states a health disparity but does not explain why through </w:t>
      </w:r>
      <w:r w:rsidR="00FB2E16" w:rsidRPr="000716AA">
        <w:rPr>
          <w:rFonts w:cstheme="minorHAnsi"/>
          <w:i/>
          <w:iCs/>
          <w:sz w:val="20"/>
          <w:szCs w:val="20"/>
        </w:rPr>
        <w:t>social and structural determinants of health.)</w:t>
      </w:r>
      <w:r w:rsidRPr="000716AA">
        <w:rPr>
          <w:rFonts w:cstheme="minorHAnsi"/>
          <w:i/>
          <w:iCs/>
          <w:sz w:val="20"/>
          <w:szCs w:val="20"/>
        </w:rPr>
        <w:t xml:space="preserve"> </w:t>
      </w:r>
    </w:p>
    <w:p w14:paraId="464CADF3" w14:textId="77777777" w:rsidR="0035575B" w:rsidRPr="000716AA" w:rsidRDefault="0035575B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9B2A4CB" w14:textId="4F9540F1" w:rsidR="00161F74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 xml:space="preserve">A 57-year-old </w:t>
      </w:r>
      <w:r w:rsidRPr="000716AA">
        <w:rPr>
          <w:rFonts w:cstheme="minorHAnsi"/>
          <w:color w:val="FF0000"/>
          <w:sz w:val="20"/>
          <w:szCs w:val="20"/>
        </w:rPr>
        <w:t xml:space="preserve">Black </w:t>
      </w:r>
      <w:r w:rsidRPr="000716AA">
        <w:rPr>
          <w:rFonts w:cstheme="minorHAnsi"/>
          <w:sz w:val="20"/>
          <w:szCs w:val="20"/>
        </w:rPr>
        <w:t xml:space="preserve">male presents to the office for an annual checkup. He was diagnosed with hyperlipidemia and hypertension for which he takes rosuvastatin and hydrochlorothiazide. He has been </w:t>
      </w:r>
      <w:r w:rsidRPr="000716AA">
        <w:rPr>
          <w:rFonts w:cstheme="minorHAnsi"/>
          <w:color w:val="FF0000"/>
          <w:sz w:val="20"/>
          <w:szCs w:val="20"/>
        </w:rPr>
        <w:t xml:space="preserve">non-compliant </w:t>
      </w:r>
      <w:r w:rsidRPr="000716AA">
        <w:rPr>
          <w:rFonts w:cstheme="minorHAnsi"/>
          <w:sz w:val="20"/>
          <w:szCs w:val="20"/>
        </w:rPr>
        <w:t>on his medications. He has no complaints other than noticing his urine seems “foamy.” Examination shows trace edema in the lower extremities. Urinalysis shows microalbuminuria and glucosuria. His Hb</w:t>
      </w:r>
      <w:r w:rsidRPr="000716AA">
        <w:rPr>
          <w:rFonts w:cstheme="minorHAnsi"/>
          <w:sz w:val="20"/>
          <w:szCs w:val="20"/>
          <w:vertAlign w:val="subscript"/>
        </w:rPr>
        <w:t>A1C</w:t>
      </w:r>
      <w:r w:rsidRPr="000716AA">
        <w:rPr>
          <w:rFonts w:cstheme="minorHAnsi"/>
          <w:sz w:val="20"/>
          <w:szCs w:val="20"/>
        </w:rPr>
        <w:t xml:space="preserve"> is 9.0% and a random blood glucose is 246 mg/dL. Vitals are reported in the table. </w:t>
      </w:r>
    </w:p>
    <w:p w14:paraId="791016ED" w14:textId="77777777" w:rsidR="000716AA" w:rsidRPr="000716AA" w:rsidRDefault="000716AA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W w:w="4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265"/>
      </w:tblGrid>
      <w:tr w:rsidR="00161F74" w:rsidRPr="000716AA" w14:paraId="3FDD86F7" w14:textId="77777777" w:rsidTr="00815C77">
        <w:trPr>
          <w:trHeight w:val="222"/>
          <w:jc w:val="center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8C163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Temperature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CFAAF0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99.0°F (37.2°C)</w:t>
            </w:r>
          </w:p>
        </w:tc>
      </w:tr>
      <w:tr w:rsidR="00161F74" w:rsidRPr="000716AA" w14:paraId="20252218" w14:textId="77777777" w:rsidTr="00815C77">
        <w:trPr>
          <w:trHeight w:val="222"/>
          <w:jc w:val="center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8F7A0A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Heart Rate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498FFA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70 bpm</w:t>
            </w:r>
          </w:p>
        </w:tc>
      </w:tr>
      <w:tr w:rsidR="00161F74" w:rsidRPr="000716AA" w14:paraId="7E823B0F" w14:textId="77777777" w:rsidTr="00815C77">
        <w:trPr>
          <w:trHeight w:val="232"/>
          <w:jc w:val="center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99B601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Respiratory Rate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8228C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12 breaths/min</w:t>
            </w:r>
          </w:p>
        </w:tc>
      </w:tr>
      <w:tr w:rsidR="00161F74" w:rsidRPr="000716AA" w14:paraId="04EF8E6D" w14:textId="77777777" w:rsidTr="00815C77">
        <w:trPr>
          <w:trHeight w:val="118"/>
          <w:jc w:val="center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20A55C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Blood Pressure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749E74" w14:textId="77777777" w:rsidR="00161F74" w:rsidRPr="000716AA" w:rsidRDefault="00161F74" w:rsidP="00815C77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0716AA">
              <w:rPr>
                <w:rFonts w:eastAsia="Calibri" w:cstheme="minorHAnsi"/>
                <w:color w:val="000000"/>
                <w:kern w:val="24"/>
                <w:sz w:val="20"/>
                <w:szCs w:val="20"/>
              </w:rPr>
              <w:t>146/84 mmHg</w:t>
            </w:r>
          </w:p>
        </w:tc>
      </w:tr>
    </w:tbl>
    <w:p w14:paraId="1B10B400" w14:textId="77777777" w:rsidR="000716AA" w:rsidRDefault="000716AA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740C147B" w14:textId="70F5A6E6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 xml:space="preserve">The patient was </w:t>
      </w:r>
      <w:r w:rsidRPr="000716AA">
        <w:rPr>
          <w:rFonts w:cstheme="minorHAnsi"/>
          <w:color w:val="FF0000"/>
          <w:sz w:val="20"/>
          <w:szCs w:val="20"/>
        </w:rPr>
        <w:t xml:space="preserve">lost to follow up </w:t>
      </w:r>
      <w:r w:rsidRPr="000716AA">
        <w:rPr>
          <w:rFonts w:cstheme="minorHAnsi"/>
          <w:sz w:val="20"/>
          <w:szCs w:val="20"/>
        </w:rPr>
        <w:t>and admitted to the hospital three years later with fatigue, cramping, abdominal pain, and swelling in his legs. Renal biopsy shows eosinophilic nodular glomerulosclerosis.</w:t>
      </w:r>
    </w:p>
    <w:p w14:paraId="0E7AB895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1507F663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>What is the most likely diagnosis?</w:t>
      </w:r>
    </w:p>
    <w:p w14:paraId="6D83E7AA" w14:textId="77777777" w:rsidR="00815C77" w:rsidRPr="000716AA" w:rsidRDefault="00161F74" w:rsidP="00161F7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>Post-streptococcal glomerulonephritis</w:t>
      </w:r>
    </w:p>
    <w:p w14:paraId="785B4B55" w14:textId="77777777" w:rsidR="00815C77" w:rsidRPr="000716AA" w:rsidRDefault="00161F74" w:rsidP="00161F7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 xml:space="preserve">Diabetic nephropathy </w:t>
      </w:r>
    </w:p>
    <w:p w14:paraId="6165EF57" w14:textId="77777777" w:rsidR="00815C77" w:rsidRPr="000716AA" w:rsidRDefault="00161F74" w:rsidP="00161F7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>Amyloid nephropathy</w:t>
      </w:r>
    </w:p>
    <w:p w14:paraId="1E9BD95D" w14:textId="77777777" w:rsidR="00815C77" w:rsidRPr="000716AA" w:rsidRDefault="00161F74" w:rsidP="00161F7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>Focal segmental glomerulosclerosis</w:t>
      </w:r>
    </w:p>
    <w:p w14:paraId="5BEE88D2" w14:textId="77777777" w:rsidR="00815C77" w:rsidRPr="000716AA" w:rsidRDefault="00161F74" w:rsidP="00161F7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>Granulomatosis with polyangiitis</w:t>
      </w:r>
    </w:p>
    <w:p w14:paraId="6903B76E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EA0DA51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sz w:val="20"/>
          <w:szCs w:val="20"/>
        </w:rPr>
        <w:t xml:space="preserve">Rationale: </w:t>
      </w:r>
      <w:r w:rsidRPr="000716AA">
        <w:rPr>
          <w:rFonts w:cstheme="minorHAnsi"/>
          <w:color w:val="FF0000"/>
          <w:sz w:val="20"/>
          <w:szCs w:val="20"/>
        </w:rPr>
        <w:t>Black patients are diagnosed with diabetes at greater rates than white patients</w:t>
      </w:r>
      <w:r w:rsidRPr="000716AA">
        <w:rPr>
          <w:rFonts w:cstheme="minorHAnsi"/>
          <w:sz w:val="20"/>
          <w:szCs w:val="20"/>
        </w:rPr>
        <w:t>. With a Hb</w:t>
      </w:r>
      <w:r w:rsidRPr="000716AA">
        <w:rPr>
          <w:rFonts w:cstheme="minorHAnsi"/>
          <w:sz w:val="20"/>
          <w:szCs w:val="20"/>
          <w:vertAlign w:val="subscript"/>
        </w:rPr>
        <w:t>A1C</w:t>
      </w:r>
      <w:r w:rsidRPr="000716AA">
        <w:rPr>
          <w:rFonts w:cstheme="minorHAnsi"/>
          <w:sz w:val="20"/>
          <w:szCs w:val="20"/>
        </w:rPr>
        <w:t xml:space="preserve"> is 9.0% and a random blood glucose is 246 mg/dL, the patient met diagnostic criteria for diabetes. This patient was </w:t>
      </w:r>
      <w:r w:rsidRPr="000716AA">
        <w:rPr>
          <w:rFonts w:cstheme="minorHAnsi"/>
          <w:color w:val="FF0000"/>
          <w:sz w:val="20"/>
          <w:szCs w:val="20"/>
        </w:rPr>
        <w:t xml:space="preserve">non-compliant on medications and did not return for a follow-up visit so his condition worsened </w:t>
      </w:r>
      <w:r w:rsidRPr="000716AA">
        <w:rPr>
          <w:rFonts w:cstheme="minorHAnsi"/>
          <w:sz w:val="20"/>
          <w:szCs w:val="20"/>
        </w:rPr>
        <w:t>until the patient presented with diabetic ketoacidosis and renal failure. Eosinophilic nodular glomerulosclerosis (Kimmelstiel-Wilson nodules) is a pathologic finding of diabetic nephropathy.</w:t>
      </w:r>
    </w:p>
    <w:p w14:paraId="0BE429B9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BAF3E01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0FEE3F64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0A891B53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53472E10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767DE6D8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4A1B2CCE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07C01E54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02B18F63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7192F426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6ED1D093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3F1AB656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5147DA67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2A1C69D3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70CEABC7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0C5E14ED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66729841" w14:textId="77777777" w:rsidR="00BB60A8" w:rsidRDefault="00BB60A8">
      <w:pPr>
        <w:rPr>
          <w:rFonts w:cstheme="minorHAnsi"/>
          <w:b/>
          <w:bCs/>
          <w:sz w:val="20"/>
          <w:szCs w:val="20"/>
        </w:rPr>
      </w:pPr>
    </w:p>
    <w:p w14:paraId="5462FEA8" w14:textId="75BC5CE0" w:rsidR="000716AA" w:rsidRPr="00BB60A8" w:rsidRDefault="00BB60A8" w:rsidP="00BB60A8">
      <w:pPr>
        <w:spacing w:after="0" w:line="240" w:lineRule="auto"/>
        <w:contextualSpacing/>
        <w:rPr>
          <w:rFonts w:cstheme="minorHAnsi"/>
          <w:i/>
          <w:iCs/>
          <w:sz w:val="18"/>
          <w:szCs w:val="18"/>
        </w:rPr>
      </w:pPr>
      <w:r w:rsidRPr="008B7D6A">
        <w:rPr>
          <w:rFonts w:cstheme="minorHAnsi"/>
          <w:i/>
          <w:iCs/>
          <w:sz w:val="18"/>
          <w:szCs w:val="18"/>
        </w:rPr>
        <w:t>Sample Case Author</w:t>
      </w:r>
      <w:r>
        <w:rPr>
          <w:rFonts w:cstheme="minorHAnsi"/>
          <w:i/>
          <w:iCs/>
          <w:sz w:val="18"/>
          <w:szCs w:val="18"/>
        </w:rPr>
        <w:t xml:space="preserve">: </w:t>
      </w:r>
      <w:r w:rsidRPr="008B7D6A">
        <w:rPr>
          <w:rFonts w:cstheme="minorHAnsi"/>
          <w:i/>
          <w:iCs/>
          <w:sz w:val="18"/>
          <w:szCs w:val="18"/>
        </w:rPr>
        <w:t>R. Vagedes (202</w:t>
      </w:r>
      <w:r>
        <w:rPr>
          <w:rFonts w:cstheme="minorHAnsi"/>
          <w:i/>
          <w:iCs/>
          <w:sz w:val="18"/>
          <w:szCs w:val="18"/>
        </w:rPr>
        <w:t>1</w:t>
      </w:r>
      <w:r w:rsidRPr="008B7D6A">
        <w:rPr>
          <w:rFonts w:cstheme="minorHAnsi"/>
          <w:i/>
          <w:iCs/>
          <w:sz w:val="18"/>
          <w:szCs w:val="18"/>
        </w:rPr>
        <w:t>)</w:t>
      </w:r>
      <w:r w:rsidR="000716AA">
        <w:rPr>
          <w:rFonts w:cstheme="minorHAnsi"/>
          <w:b/>
          <w:bCs/>
          <w:sz w:val="20"/>
          <w:szCs w:val="20"/>
        </w:rPr>
        <w:br w:type="page"/>
      </w:r>
    </w:p>
    <w:p w14:paraId="4B215EF2" w14:textId="2E88E26B" w:rsidR="00161F74" w:rsidRPr="000716AA" w:rsidRDefault="00161F74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lastRenderedPageBreak/>
        <w:t xml:space="preserve">Case 2 – Case (Excerpt) of Patient with </w:t>
      </w:r>
      <w:r w:rsidRPr="000716AA">
        <w:rPr>
          <w:rFonts w:cstheme="minorHAnsi"/>
          <w:b/>
          <w:bCs/>
          <w:i/>
          <w:iCs/>
          <w:sz w:val="20"/>
          <w:szCs w:val="20"/>
        </w:rPr>
        <w:t>Pneumocystis jiroveci</w:t>
      </w:r>
      <w:r w:rsidRPr="000716AA">
        <w:rPr>
          <w:rFonts w:cstheme="minorHAnsi"/>
          <w:b/>
          <w:bCs/>
          <w:sz w:val="20"/>
          <w:szCs w:val="20"/>
        </w:rPr>
        <w:t xml:space="preserve"> Pneumonia (an AIDS-Defining Illness)</w:t>
      </w:r>
    </w:p>
    <w:p w14:paraId="40328E5A" w14:textId="04F11562" w:rsidR="0035575B" w:rsidRPr="000716AA" w:rsidRDefault="00DD5D73" w:rsidP="00161F74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  <w:r w:rsidRPr="000716AA">
        <w:rPr>
          <w:rFonts w:cstheme="minorHAnsi"/>
          <w:i/>
          <w:iCs/>
          <w:sz w:val="20"/>
          <w:szCs w:val="20"/>
        </w:rPr>
        <w:t>(</w:t>
      </w:r>
      <w:r w:rsidRPr="000716AA">
        <w:rPr>
          <w:rFonts w:cstheme="minorHAnsi"/>
          <w:i/>
          <w:iCs/>
          <w:sz w:val="20"/>
          <w:szCs w:val="20"/>
          <w:u w:val="single"/>
        </w:rPr>
        <w:t xml:space="preserve">Facilitator </w:t>
      </w:r>
      <w:r w:rsidR="0035575B" w:rsidRPr="000716AA">
        <w:rPr>
          <w:rFonts w:cstheme="minorHAnsi"/>
          <w:i/>
          <w:iCs/>
          <w:sz w:val="20"/>
          <w:szCs w:val="20"/>
          <w:u w:val="single"/>
        </w:rPr>
        <w:t>Note:</w:t>
      </w:r>
      <w:r w:rsidR="0035575B" w:rsidRPr="000716AA">
        <w:rPr>
          <w:rFonts w:cstheme="minorHAnsi"/>
          <w:i/>
          <w:iCs/>
          <w:sz w:val="20"/>
          <w:szCs w:val="20"/>
        </w:rPr>
        <w:t xml:space="preserve"> This case depicts a gay Latino man </w:t>
      </w:r>
      <w:r w:rsidRPr="000716AA">
        <w:rPr>
          <w:rFonts w:cstheme="minorHAnsi"/>
          <w:i/>
          <w:iCs/>
          <w:sz w:val="20"/>
          <w:szCs w:val="20"/>
        </w:rPr>
        <w:t>ultimately</w:t>
      </w:r>
      <w:r w:rsidR="0035575B" w:rsidRPr="000716AA">
        <w:rPr>
          <w:rFonts w:cstheme="minorHAnsi"/>
          <w:i/>
          <w:iCs/>
          <w:sz w:val="20"/>
          <w:szCs w:val="20"/>
        </w:rPr>
        <w:t xml:space="preserve"> diagnosed </w:t>
      </w:r>
      <w:r w:rsidR="00F05951" w:rsidRPr="000716AA">
        <w:rPr>
          <w:rFonts w:cstheme="minorHAnsi"/>
          <w:i/>
          <w:iCs/>
          <w:sz w:val="20"/>
          <w:szCs w:val="20"/>
        </w:rPr>
        <w:t xml:space="preserve">with </w:t>
      </w:r>
      <w:r w:rsidR="0035575B" w:rsidRPr="000716AA">
        <w:rPr>
          <w:rFonts w:cstheme="minorHAnsi"/>
          <w:i/>
          <w:iCs/>
          <w:sz w:val="20"/>
          <w:szCs w:val="20"/>
        </w:rPr>
        <w:t>AIDS. Many of the descriptions in the case stereotype gay men of color as engaging in high-risk sexual activity with numerous partners and having alcohol and drug abuse.</w:t>
      </w:r>
      <w:r w:rsidRPr="000716AA">
        <w:rPr>
          <w:rFonts w:cstheme="minorHAnsi"/>
          <w:i/>
          <w:iCs/>
          <w:sz w:val="20"/>
          <w:szCs w:val="20"/>
        </w:rPr>
        <w:t>)</w:t>
      </w:r>
    </w:p>
    <w:p w14:paraId="76AF559A" w14:textId="77777777" w:rsidR="0035575B" w:rsidRPr="000716AA" w:rsidRDefault="0035575B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4A4FFE9" w14:textId="319F6A74" w:rsidR="00161F74" w:rsidRDefault="0029677B" w:rsidP="0029677B">
      <w:pPr>
        <w:spacing w:after="0" w:line="240" w:lineRule="auto"/>
        <w:contextualSpacing/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4D76231" wp14:editId="25F1BD77">
            <wp:extent cx="2857500" cy="1905000"/>
            <wp:effectExtent l="38100" t="38100" r="38100" b="38100"/>
            <wp:docPr id="2" name="Picture 2" descr="A person sitting in a c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in a chai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6C3EB8E1" w14:textId="77777777" w:rsidR="0029677B" w:rsidRPr="000716AA" w:rsidRDefault="0029677B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8FA4FE1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CC:</w:t>
      </w:r>
      <w:r w:rsidRPr="000716AA">
        <w:rPr>
          <w:rFonts w:cstheme="minorHAnsi"/>
          <w:sz w:val="20"/>
          <w:szCs w:val="20"/>
        </w:rPr>
        <w:t xml:space="preserve"> cough, fever</w:t>
      </w:r>
    </w:p>
    <w:p w14:paraId="65D75A74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11B60DAD" w14:textId="501208E1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HPI:</w:t>
      </w:r>
      <w:r w:rsidRPr="000716AA">
        <w:rPr>
          <w:rFonts w:cstheme="minorHAnsi"/>
          <w:sz w:val="20"/>
          <w:szCs w:val="20"/>
        </w:rPr>
        <w:t xml:space="preserve"> Roberto Gonzalez is a 2</w:t>
      </w:r>
      <w:r w:rsidR="00762DC2" w:rsidRPr="000716AA">
        <w:rPr>
          <w:rFonts w:cstheme="minorHAnsi"/>
          <w:sz w:val="20"/>
          <w:szCs w:val="20"/>
        </w:rPr>
        <w:t>7</w:t>
      </w:r>
      <w:r w:rsidRPr="000716AA">
        <w:rPr>
          <w:rFonts w:cstheme="minorHAnsi"/>
          <w:sz w:val="20"/>
          <w:szCs w:val="20"/>
        </w:rPr>
        <w:t xml:space="preserve">-year-old </w:t>
      </w:r>
      <w:r w:rsidRPr="000716AA">
        <w:rPr>
          <w:rFonts w:cstheme="minorHAnsi"/>
          <w:color w:val="FF0000"/>
          <w:sz w:val="20"/>
          <w:szCs w:val="20"/>
        </w:rPr>
        <w:t xml:space="preserve">Latino </w:t>
      </w:r>
      <w:r w:rsidRPr="000716AA">
        <w:rPr>
          <w:rFonts w:cstheme="minorHAnsi"/>
          <w:sz w:val="20"/>
          <w:szCs w:val="20"/>
        </w:rPr>
        <w:t xml:space="preserve">male presenting to the office with a 2-month history of a non-productive cough that makes him feel short of breath sometimes. Cough medication does not help, and activity makes his cough worse. He states has also had a fever for the past 2 weeks which he reports ibuprofen has been helping to control his temperature. He has also noticed he lost 7 lbs unintentionally in the past month. He is concerned about his health and says balancing upcoming exams and with his health has been giving him a lot of anxiety. </w:t>
      </w:r>
    </w:p>
    <w:p w14:paraId="10377127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bookmarkStart w:id="0" w:name="_Hlk53135489"/>
    </w:p>
    <w:p w14:paraId="39FCADB3" w14:textId="3955BED0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PMHx:</w:t>
      </w:r>
      <w:r w:rsidRPr="000716AA">
        <w:rPr>
          <w:rFonts w:cstheme="minorHAnsi"/>
          <w:sz w:val="20"/>
          <w:szCs w:val="20"/>
        </w:rPr>
        <w:t xml:space="preserve"> </w:t>
      </w:r>
      <w:r w:rsidRPr="000716AA">
        <w:rPr>
          <w:rFonts w:cstheme="minorHAnsi"/>
          <w:color w:val="FF0000"/>
          <w:sz w:val="20"/>
          <w:szCs w:val="20"/>
        </w:rPr>
        <w:t>major depressive disorder</w:t>
      </w:r>
      <w:r w:rsidRPr="000716AA">
        <w:rPr>
          <w:rFonts w:cstheme="minorHAnsi"/>
          <w:sz w:val="20"/>
          <w:szCs w:val="20"/>
        </w:rPr>
        <w:t xml:space="preserve">, </w:t>
      </w:r>
      <w:r w:rsidRPr="000716AA">
        <w:rPr>
          <w:rFonts w:cstheme="minorHAnsi"/>
          <w:color w:val="FF0000"/>
          <w:sz w:val="20"/>
          <w:szCs w:val="20"/>
        </w:rPr>
        <w:t>general anxiety disorder</w:t>
      </w:r>
    </w:p>
    <w:p w14:paraId="2DA07F46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Meds:</w:t>
      </w:r>
      <w:r w:rsidRPr="000716AA">
        <w:rPr>
          <w:rFonts w:cstheme="minorHAnsi"/>
          <w:sz w:val="20"/>
          <w:szCs w:val="20"/>
        </w:rPr>
        <w:t xml:space="preserve"> citalopram 40 mg qd, ibuprofen 250 mg bid prn</w:t>
      </w:r>
    </w:p>
    <w:p w14:paraId="013F72B5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Allergies:</w:t>
      </w:r>
      <w:r w:rsidRPr="000716AA">
        <w:rPr>
          <w:rFonts w:cstheme="minorHAnsi"/>
          <w:sz w:val="20"/>
          <w:szCs w:val="20"/>
        </w:rPr>
        <w:t xml:space="preserve"> NKDA</w:t>
      </w:r>
    </w:p>
    <w:p w14:paraId="7A2027CC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Immunizations:</w:t>
      </w:r>
      <w:r w:rsidRPr="000716AA">
        <w:rPr>
          <w:rFonts w:cstheme="minorHAnsi"/>
          <w:sz w:val="20"/>
          <w:szCs w:val="20"/>
        </w:rPr>
        <w:t xml:space="preserve"> flu (2020), TDaP (2015)</w:t>
      </w:r>
    </w:p>
    <w:p w14:paraId="3EA3B718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Surgical Hx:</w:t>
      </w:r>
      <w:r w:rsidRPr="000716AA">
        <w:rPr>
          <w:rFonts w:cstheme="minorHAnsi"/>
          <w:sz w:val="20"/>
          <w:szCs w:val="20"/>
        </w:rPr>
        <w:t xml:space="preserve"> appendectomy (2005)</w:t>
      </w:r>
    </w:p>
    <w:p w14:paraId="29B3EE02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Family Hx:</w:t>
      </w:r>
      <w:r w:rsidRPr="000716AA">
        <w:rPr>
          <w:rFonts w:cstheme="minorHAnsi"/>
          <w:sz w:val="20"/>
          <w:szCs w:val="20"/>
        </w:rPr>
        <w:t xml:space="preserve"> Mother (55, alive) – hyperlipidemia; Father (57, alive) – HTN, pre-diabetes; unknown grandparent hx; no siblings</w:t>
      </w:r>
    </w:p>
    <w:p w14:paraId="76BE97D8" w14:textId="77777777" w:rsidR="00161F74" w:rsidRPr="000716AA" w:rsidRDefault="00161F74" w:rsidP="00161F74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Social Hx:</w:t>
      </w:r>
      <w:r w:rsidRPr="000716AA">
        <w:rPr>
          <w:rFonts w:cstheme="minorHAnsi"/>
          <w:sz w:val="20"/>
          <w:szCs w:val="20"/>
        </w:rPr>
        <w:t xml:space="preserve"> college student studying communications, lives with one roommate, drinks 3 cups coffee/day, </w:t>
      </w:r>
      <w:r w:rsidRPr="000716AA">
        <w:rPr>
          <w:rFonts w:cstheme="minorHAnsi"/>
          <w:color w:val="FF0000"/>
          <w:sz w:val="20"/>
          <w:szCs w:val="20"/>
        </w:rPr>
        <w:t>drinks 8-12 beers each weekend</w:t>
      </w:r>
      <w:r w:rsidRPr="000716AA">
        <w:rPr>
          <w:rFonts w:cstheme="minorHAnsi"/>
          <w:sz w:val="20"/>
          <w:szCs w:val="20"/>
        </w:rPr>
        <w:t xml:space="preserve">, </w:t>
      </w:r>
      <w:r w:rsidRPr="000716AA">
        <w:rPr>
          <w:rFonts w:cstheme="minorHAnsi"/>
          <w:color w:val="FF0000"/>
          <w:sz w:val="20"/>
          <w:szCs w:val="20"/>
        </w:rPr>
        <w:t>admits to using Adderall he buys from roommates for partying 1-2 times/month</w:t>
      </w:r>
      <w:r w:rsidRPr="000716AA">
        <w:rPr>
          <w:rFonts w:cstheme="minorHAnsi"/>
          <w:sz w:val="20"/>
          <w:szCs w:val="20"/>
        </w:rPr>
        <w:t>, denies tobacco use</w:t>
      </w:r>
    </w:p>
    <w:p w14:paraId="2BB57EDF" w14:textId="300A13D3" w:rsidR="000716AA" w:rsidRPr="0029677B" w:rsidRDefault="00161F74" w:rsidP="00161F74">
      <w:pPr>
        <w:spacing w:after="0" w:line="240" w:lineRule="auto"/>
        <w:contextualSpacing/>
        <w:rPr>
          <w:rFonts w:cstheme="minorHAnsi"/>
          <w:color w:val="FF0000"/>
          <w:sz w:val="20"/>
          <w:szCs w:val="20"/>
        </w:rPr>
      </w:pPr>
      <w:r w:rsidRPr="000716AA">
        <w:rPr>
          <w:rFonts w:cstheme="minorHAnsi"/>
          <w:b/>
          <w:bCs/>
          <w:sz w:val="20"/>
          <w:szCs w:val="20"/>
        </w:rPr>
        <w:t>Sexual Hx:</w:t>
      </w:r>
      <w:bookmarkEnd w:id="0"/>
      <w:r w:rsidRPr="000716AA">
        <w:rPr>
          <w:rFonts w:cstheme="minorHAnsi"/>
          <w:sz w:val="20"/>
          <w:szCs w:val="20"/>
        </w:rPr>
        <w:t xml:space="preserve"> </w:t>
      </w:r>
      <w:r w:rsidRPr="000716AA">
        <w:rPr>
          <w:rFonts w:cstheme="minorHAnsi"/>
          <w:color w:val="FF0000"/>
          <w:sz w:val="20"/>
          <w:szCs w:val="20"/>
        </w:rPr>
        <w:t>sexually active exclusively with men</w:t>
      </w:r>
      <w:r w:rsidRPr="000716AA">
        <w:rPr>
          <w:rFonts w:cstheme="minorHAnsi"/>
          <w:sz w:val="20"/>
          <w:szCs w:val="20"/>
        </w:rPr>
        <w:t xml:space="preserve">, state he thinks he has had </w:t>
      </w:r>
      <w:r w:rsidRPr="000716AA">
        <w:rPr>
          <w:rFonts w:cstheme="minorHAnsi"/>
          <w:color w:val="FF0000"/>
          <w:sz w:val="20"/>
          <w:szCs w:val="20"/>
        </w:rPr>
        <w:t>at least 10 sexual partners in the past year but he is not sure</w:t>
      </w:r>
      <w:r w:rsidRPr="000716AA">
        <w:rPr>
          <w:rFonts w:cstheme="minorHAnsi"/>
          <w:sz w:val="20"/>
          <w:szCs w:val="20"/>
        </w:rPr>
        <w:t xml:space="preserve">, states he has never had a previous STI, states he occasional </w:t>
      </w:r>
      <w:r w:rsidRPr="000716AA">
        <w:rPr>
          <w:rFonts w:cstheme="minorHAnsi"/>
          <w:color w:val="FF0000"/>
          <w:sz w:val="20"/>
          <w:szCs w:val="20"/>
        </w:rPr>
        <w:t>uses condoms but often forgets</w:t>
      </w:r>
    </w:p>
    <w:p w14:paraId="2A9CFEBD" w14:textId="77777777" w:rsidR="000716AA" w:rsidRDefault="000716AA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687D3CA7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5B977F54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3DE75925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7932786E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473E6E74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0D21453A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79E620FC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7E604B26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7DC4C577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0A9C0E1B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67AC627A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61C2FD2E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5CC1F718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360EA62F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01DA067A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4EC090D8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1F265E15" w14:textId="77777777" w:rsidR="0029677B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0BBB7610" w14:textId="77777777" w:rsidR="0029677B" w:rsidRPr="000716AA" w:rsidRDefault="0029677B" w:rsidP="00161F74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655FE559" w14:textId="69C88C2F" w:rsidR="00362D18" w:rsidRDefault="0029677B" w:rsidP="00161F74">
      <w:pPr>
        <w:spacing w:after="0" w:line="240" w:lineRule="auto"/>
        <w:contextualSpacing/>
        <w:rPr>
          <w:rFonts w:cstheme="minorHAnsi"/>
          <w:sz w:val="18"/>
          <w:szCs w:val="18"/>
        </w:rPr>
      </w:pPr>
      <w:r w:rsidRPr="0029677B">
        <w:rPr>
          <w:rFonts w:cstheme="minorHAnsi"/>
          <w:b/>
          <w:bCs/>
          <w:sz w:val="18"/>
          <w:szCs w:val="18"/>
        </w:rPr>
        <w:t>Image Source:</w:t>
      </w:r>
      <w:r w:rsidRPr="0029677B">
        <w:rPr>
          <w:rFonts w:cstheme="minorHAnsi"/>
          <w:sz w:val="18"/>
          <w:szCs w:val="18"/>
        </w:rPr>
        <w:t xml:space="preserve"> Image by Daniel Foster, retrieved from: </w:t>
      </w:r>
      <w:hyperlink r:id="rId9" w:history="1">
        <w:r w:rsidRPr="0029677B">
          <w:rPr>
            <w:rStyle w:val="Hyperlink"/>
            <w:rFonts w:cstheme="minorHAnsi"/>
            <w:sz w:val="18"/>
            <w:szCs w:val="18"/>
          </w:rPr>
          <w:t>https://www.flickr.com/photos/danielfoster/31339065143</w:t>
        </w:r>
      </w:hyperlink>
      <w:r w:rsidRPr="0029677B">
        <w:rPr>
          <w:rFonts w:cstheme="minorHAnsi"/>
          <w:sz w:val="18"/>
          <w:szCs w:val="18"/>
        </w:rPr>
        <w:t xml:space="preserve"> on 12/23/2021. Creative Commons license associated (CC BY-NC-SA 2.0). </w:t>
      </w:r>
    </w:p>
    <w:p w14:paraId="6306D445" w14:textId="77777777" w:rsidR="00362D18" w:rsidRDefault="00362D18" w:rsidP="00161F74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14:paraId="0E590A5A" w14:textId="14F55D35" w:rsidR="00362D18" w:rsidRPr="008B7D6A" w:rsidRDefault="00362D18" w:rsidP="00161F74">
      <w:pPr>
        <w:spacing w:after="0" w:line="240" w:lineRule="auto"/>
        <w:contextualSpacing/>
        <w:rPr>
          <w:rFonts w:cstheme="minorHAnsi"/>
          <w:i/>
          <w:iCs/>
          <w:sz w:val="18"/>
          <w:szCs w:val="18"/>
        </w:rPr>
      </w:pPr>
      <w:r w:rsidRPr="008B7D6A">
        <w:rPr>
          <w:rFonts w:cstheme="minorHAnsi"/>
          <w:i/>
          <w:iCs/>
          <w:sz w:val="18"/>
          <w:szCs w:val="18"/>
        </w:rPr>
        <w:t>Sample Case Author</w:t>
      </w:r>
      <w:r w:rsidR="008B7D6A">
        <w:rPr>
          <w:rFonts w:cstheme="minorHAnsi"/>
          <w:i/>
          <w:iCs/>
          <w:sz w:val="18"/>
          <w:szCs w:val="18"/>
        </w:rPr>
        <w:t xml:space="preserve">: </w:t>
      </w:r>
      <w:r w:rsidR="008B7D6A" w:rsidRPr="008B7D6A">
        <w:rPr>
          <w:rFonts w:cstheme="minorHAnsi"/>
          <w:i/>
          <w:iCs/>
          <w:sz w:val="18"/>
          <w:szCs w:val="18"/>
        </w:rPr>
        <w:t xml:space="preserve">R. </w:t>
      </w:r>
      <w:r w:rsidRPr="008B7D6A">
        <w:rPr>
          <w:rFonts w:cstheme="minorHAnsi"/>
          <w:i/>
          <w:iCs/>
          <w:sz w:val="18"/>
          <w:szCs w:val="18"/>
        </w:rPr>
        <w:t>Vagedes (202</w:t>
      </w:r>
      <w:r w:rsidR="004E3C6E">
        <w:rPr>
          <w:rFonts w:cstheme="minorHAnsi"/>
          <w:i/>
          <w:iCs/>
          <w:sz w:val="18"/>
          <w:szCs w:val="18"/>
        </w:rPr>
        <w:t>1</w:t>
      </w:r>
      <w:r w:rsidRPr="008B7D6A">
        <w:rPr>
          <w:rFonts w:cstheme="minorHAnsi"/>
          <w:i/>
          <w:iCs/>
          <w:sz w:val="18"/>
          <w:szCs w:val="18"/>
        </w:rPr>
        <w:t>)</w:t>
      </w:r>
    </w:p>
    <w:sectPr w:rsidR="00362D18" w:rsidRPr="008B7D6A" w:rsidSect="00815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2ABF" w14:textId="77777777" w:rsidR="006767C1" w:rsidRDefault="006767C1" w:rsidP="0035575B">
      <w:pPr>
        <w:spacing w:after="0" w:line="240" w:lineRule="auto"/>
      </w:pPr>
      <w:r>
        <w:separator/>
      </w:r>
    </w:p>
  </w:endnote>
  <w:endnote w:type="continuationSeparator" w:id="0">
    <w:p w14:paraId="4FDC6A8E" w14:textId="77777777" w:rsidR="006767C1" w:rsidRDefault="006767C1" w:rsidP="0035575B">
      <w:pPr>
        <w:spacing w:after="0" w:line="240" w:lineRule="auto"/>
      </w:pPr>
      <w:r>
        <w:continuationSeparator/>
      </w:r>
    </w:p>
  </w:endnote>
  <w:endnote w:type="continuationNotice" w:id="1">
    <w:p w14:paraId="0E41212D" w14:textId="77777777" w:rsidR="006767C1" w:rsidRDefault="00676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F8E2" w14:textId="77777777" w:rsidR="006767C1" w:rsidRDefault="006767C1" w:rsidP="0035575B">
      <w:pPr>
        <w:spacing w:after="0" w:line="240" w:lineRule="auto"/>
      </w:pPr>
      <w:r>
        <w:separator/>
      </w:r>
    </w:p>
  </w:footnote>
  <w:footnote w:type="continuationSeparator" w:id="0">
    <w:p w14:paraId="5C4613AE" w14:textId="77777777" w:rsidR="006767C1" w:rsidRDefault="006767C1" w:rsidP="0035575B">
      <w:pPr>
        <w:spacing w:after="0" w:line="240" w:lineRule="auto"/>
      </w:pPr>
      <w:r>
        <w:continuationSeparator/>
      </w:r>
    </w:p>
  </w:footnote>
  <w:footnote w:type="continuationNotice" w:id="1">
    <w:p w14:paraId="1E3E47F0" w14:textId="77777777" w:rsidR="006767C1" w:rsidRDefault="006767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D99"/>
    <w:multiLevelType w:val="hybridMultilevel"/>
    <w:tmpl w:val="906AB3DC"/>
    <w:lvl w:ilvl="0" w:tplc="8218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5DB4"/>
    <w:multiLevelType w:val="hybridMultilevel"/>
    <w:tmpl w:val="0DB402A8"/>
    <w:lvl w:ilvl="0" w:tplc="6018FB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20CC9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AD809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C3E4B7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71A627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72E2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24606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E83C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8823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1325062">
    <w:abstractNumId w:val="1"/>
  </w:num>
  <w:num w:numId="2" w16cid:durableId="9432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74"/>
    <w:rsid w:val="000635F8"/>
    <w:rsid w:val="000716AA"/>
    <w:rsid w:val="000C0A48"/>
    <w:rsid w:val="00161F74"/>
    <w:rsid w:val="001C2D36"/>
    <w:rsid w:val="00211FBE"/>
    <w:rsid w:val="0027245B"/>
    <w:rsid w:val="0029677B"/>
    <w:rsid w:val="003427E9"/>
    <w:rsid w:val="00347CA4"/>
    <w:rsid w:val="0035575B"/>
    <w:rsid w:val="00362D18"/>
    <w:rsid w:val="00387BB6"/>
    <w:rsid w:val="003B245E"/>
    <w:rsid w:val="003D2193"/>
    <w:rsid w:val="00400D63"/>
    <w:rsid w:val="004E3C6E"/>
    <w:rsid w:val="004F2604"/>
    <w:rsid w:val="00504F9A"/>
    <w:rsid w:val="005577C2"/>
    <w:rsid w:val="0066517D"/>
    <w:rsid w:val="006767C1"/>
    <w:rsid w:val="00696F67"/>
    <w:rsid w:val="006A7FB7"/>
    <w:rsid w:val="006B1838"/>
    <w:rsid w:val="007245D7"/>
    <w:rsid w:val="00762DC2"/>
    <w:rsid w:val="007668B0"/>
    <w:rsid w:val="007A5912"/>
    <w:rsid w:val="007C35F7"/>
    <w:rsid w:val="00815C77"/>
    <w:rsid w:val="00881DED"/>
    <w:rsid w:val="008B7D6A"/>
    <w:rsid w:val="00913071"/>
    <w:rsid w:val="009768A1"/>
    <w:rsid w:val="009C58EE"/>
    <w:rsid w:val="00A03631"/>
    <w:rsid w:val="00A5503C"/>
    <w:rsid w:val="00A736C5"/>
    <w:rsid w:val="00A75771"/>
    <w:rsid w:val="00A976FA"/>
    <w:rsid w:val="00AB5F0D"/>
    <w:rsid w:val="00AB7AA3"/>
    <w:rsid w:val="00B620EB"/>
    <w:rsid w:val="00B66539"/>
    <w:rsid w:val="00B66DC8"/>
    <w:rsid w:val="00BB60A8"/>
    <w:rsid w:val="00BE3481"/>
    <w:rsid w:val="00C225EC"/>
    <w:rsid w:val="00C63EF8"/>
    <w:rsid w:val="00CB0FDA"/>
    <w:rsid w:val="00CC44CF"/>
    <w:rsid w:val="00CC6F9E"/>
    <w:rsid w:val="00CD0516"/>
    <w:rsid w:val="00D1169F"/>
    <w:rsid w:val="00D17A0B"/>
    <w:rsid w:val="00D45B3A"/>
    <w:rsid w:val="00DD5D73"/>
    <w:rsid w:val="00E17390"/>
    <w:rsid w:val="00E1764C"/>
    <w:rsid w:val="00E7266A"/>
    <w:rsid w:val="00E867E8"/>
    <w:rsid w:val="00F05951"/>
    <w:rsid w:val="00F466DF"/>
    <w:rsid w:val="00F540A3"/>
    <w:rsid w:val="00FB13B7"/>
    <w:rsid w:val="00FB18E9"/>
    <w:rsid w:val="00FB2E16"/>
    <w:rsid w:val="00FB6C67"/>
    <w:rsid w:val="035380D7"/>
    <w:rsid w:val="08BBB4F8"/>
    <w:rsid w:val="0BA25ABB"/>
    <w:rsid w:val="6138C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151E"/>
  <w15:chartTrackingRefBased/>
  <w15:docId w15:val="{0282DB42-1434-4F91-8E25-4BB0044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5B"/>
  </w:style>
  <w:style w:type="paragraph" w:styleId="Footer">
    <w:name w:val="footer"/>
    <w:basedOn w:val="Normal"/>
    <w:link w:val="FooterChar"/>
    <w:uiPriority w:val="99"/>
    <w:unhideWhenUsed/>
    <w:rsid w:val="0035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5B"/>
  </w:style>
  <w:style w:type="character" w:styleId="CommentReference">
    <w:name w:val="annotation reference"/>
    <w:basedOn w:val="DefaultParagraphFont"/>
    <w:uiPriority w:val="99"/>
    <w:semiHidden/>
    <w:unhideWhenUsed/>
    <w:rsid w:val="00355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6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F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8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77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i.org/10.1097/ACM.0000000000002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danielfoster/31339065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Vagedes, Ryan</dc:creator>
  <cp:keywords/>
  <dc:description/>
  <cp:lastModifiedBy>Vagedes, Ryan</cp:lastModifiedBy>
  <cp:revision>60</cp:revision>
  <cp:lastPrinted>2020-10-29T08:41:00Z</cp:lastPrinted>
  <dcterms:created xsi:type="dcterms:W3CDTF">2020-10-28T18:27:00Z</dcterms:created>
  <dcterms:modified xsi:type="dcterms:W3CDTF">2022-06-29T21:31:00Z</dcterms:modified>
</cp:coreProperties>
</file>