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How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to Stick With It: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An Action Plan for Establishing and Maintaining a Maternal-Child Health Practice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Use the resources and information you gained from this seminar to develop a personalized action plan that can be implemented to maintain your MCH practice. 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Identify a MCH mentor.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WHO? (local or regional?)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="240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="240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Contact info for someone in this seminar: ______________________________________</w:t>
      </w:r>
    </w:p>
    <w:p w:rsidR="00000000" w:rsidDel="00000000" w:rsidP="00000000" w:rsidRDefault="00000000" w:rsidRPr="00000000">
      <w:pPr>
        <w:pBdr/>
        <w:spacing w:after="0" w:line="240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WHAT? (Identify personal </w:t>
      </w:r>
      <w:r w:rsidDel="00000000" w:rsidR="00000000" w:rsidRPr="00000000">
        <w:rPr>
          <w:rtl w:val="0"/>
        </w:rPr>
        <w:t xml:space="preserve">and professional goals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to discuss with your mentor.)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="240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="240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="240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WHEN? (Schedule a meeting.  At the end of the meeting, schedule follow-up.)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="240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WHY? (Identify the mutual benefits of an MCH mentor-mentee relationship.)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="240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Identify the local privileging requirements.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Who controls privileging at your institution (What department? Contact person?)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="240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are the numbers?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/>
        <w:spacing w:after="0" w:before="0" w:line="240" w:lineRule="auto"/>
        <w:ind w:left="2160" w:right="0" w:hanging="18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Deliveries to obtain privileges: ___________ Maintain privileges: 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Required certifications?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ALSO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NRP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ACLS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Obtain policies for consultation/co-management/transfer of care.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Requirements for proctored procedures or deliveries?  YES /  NO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Identify local opportunities for interdisciplinary collaboration.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Administrative opportunities (Institutional Guidelines, Event Review/Safety Committee, Privileging Committee, etc.)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="240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Multidisciplinary education (OB Resident Didactics, TEAM Steps, L&amp;D Drills/Simulations, ALSO, etc)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="240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Opportunities to provide L&amp;D coverage (OB Resident Clinic, OB/CNM Meetings, etc)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="240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List strategies for maintaining experience and building a practice: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Identify strategies to deliver your own patients. (Free preg tests, Pregnancy posters in the office, Preconception counselling, Educate desk/phone staff, etc)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="240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Identify referral relationships for prenatal/intrapartum care (Primary care colleagues, Planned Parenthood, free clinics, etc)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="240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Identify the local patient need or an underserved population (Women’s shelters, Substance Abuse Treatment Programs, etc)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="240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Identify resources for high volume clinical experience (Provide L&amp;D coverage, Partner with regional residency, Use your STFM contacts, etc)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="240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Identify resources for CME. (AAFP Family Centered Maternity Care Conference, ALSO, Online tools/CME, etc)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="240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Please contact us with questions!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sz w:val="20"/>
          <w:szCs w:val="20"/>
        </w:rPr>
        <w:sectPr>
          <w:pgSz w:h="15840" w:w="12240"/>
          <w:pgMar w:bottom="1440" w:top="1440" w:left="1440" w:right="144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Jessi Goldstein (UCSF-Natividad): goldsteinjt@natividad.com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Scott Hartman (University of Rochester): </w:t>
      </w:r>
      <w:hyperlink r:id="rId5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sghart@yahoo.co</w:t>
        </w:r>
      </w:hyperlink>
      <w:hyperlink r:id="rId6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m</w:t>
        </w:r>
      </w:hyperlink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Matthew Meunier (Mayo Clinic): Meunier.Matthew@mayo.edu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Bethany Panchal (Ohio State Univ): Bethany.Panchal@osumc.edu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Sara Shields (U of Massachusetts): sara.shields@umassmed.edu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Nancy Zink (Oregon Health &amp; Science Univ): Zink@ohsu.edu</w:t>
      </w:r>
    </w:p>
    <w:sectPr>
      <w:type w:val="continuous"/>
      <w:pgSz w:h="15840" w:w="12240"/>
      <w:pgMar w:bottom="1440" w:top="1440" w:left="1440" w:right="1440" w:header="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sghart@yahoo.com" TargetMode="External"/><Relationship Id="rId6" Type="http://schemas.openxmlformats.org/officeDocument/2006/relationships/hyperlink" Target="mailto:sghart@yahoo.com" TargetMode="External"/></Relationships>
</file>