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8F" w:rsidRPr="009416F8" w:rsidRDefault="00901A5F" w:rsidP="000362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Teaching Tools by competencies and Milestones</w:t>
      </w:r>
      <w:proofErr w:type="gramStart"/>
      <w:r>
        <w:rPr>
          <w:b/>
          <w:color w:val="000000" w:themeColor="text1"/>
          <w:sz w:val="24"/>
          <w:szCs w:val="24"/>
        </w:rPr>
        <w:t xml:space="preserve">- </w:t>
      </w:r>
      <w:bookmarkStart w:id="0" w:name="_GoBack"/>
      <w:bookmarkEnd w:id="0"/>
      <w:r w:rsidR="0003628F">
        <w:rPr>
          <w:b/>
          <w:color w:val="000000" w:themeColor="text1"/>
          <w:sz w:val="24"/>
          <w:szCs w:val="24"/>
        </w:rPr>
        <w:t xml:space="preserve"> Primary</w:t>
      </w:r>
      <w:proofErr w:type="gramEnd"/>
      <w:r w:rsidR="0003628F">
        <w:rPr>
          <w:b/>
          <w:color w:val="000000" w:themeColor="text1"/>
          <w:sz w:val="24"/>
          <w:szCs w:val="24"/>
        </w:rPr>
        <w:t xml:space="preserve"> Geriatric and P</w:t>
      </w:r>
      <w:r w:rsidR="0003628F" w:rsidRPr="00AD4501">
        <w:rPr>
          <w:b/>
          <w:color w:val="000000" w:themeColor="text1"/>
          <w:sz w:val="24"/>
          <w:szCs w:val="24"/>
        </w:rPr>
        <w:t xml:space="preserve">alliative Care </w:t>
      </w:r>
      <w:r w:rsidR="0003628F">
        <w:rPr>
          <w:b/>
          <w:color w:val="000000" w:themeColor="text1"/>
          <w:sz w:val="24"/>
          <w:szCs w:val="24"/>
        </w:rPr>
        <w:t>Curriculum Objectives</w:t>
      </w:r>
      <w:r w:rsidR="0003628F" w:rsidRPr="00AD4501">
        <w:rPr>
          <w:b/>
          <w:color w:val="000000" w:themeColor="text1"/>
          <w:sz w:val="24"/>
          <w:szCs w:val="24"/>
        </w:rPr>
        <w:t xml:space="preserve"> </w:t>
      </w:r>
      <w:r w:rsidR="0003628F">
        <w:rPr>
          <w:b/>
          <w:color w:val="000000" w:themeColor="text1"/>
          <w:sz w:val="24"/>
          <w:szCs w:val="24"/>
        </w:rPr>
        <w:t>with Selected Tools, and As</w:t>
      </w:r>
      <w:r w:rsidR="0003628F" w:rsidRPr="00AD4501">
        <w:rPr>
          <w:b/>
          <w:color w:val="000000" w:themeColor="text1"/>
          <w:sz w:val="24"/>
          <w:szCs w:val="24"/>
        </w:rPr>
        <w:t>sociated EPA’s, Competencies, and Domains</w:t>
      </w:r>
      <w:r w:rsidR="0003628F">
        <w:rPr>
          <w:b/>
          <w:color w:val="000000" w:themeColor="text1"/>
          <w:sz w:val="24"/>
          <w:szCs w:val="24"/>
        </w:rPr>
        <w:t xml:space="preserve"> and Areas of Collaborative Teaching </w:t>
      </w:r>
    </w:p>
    <w:tbl>
      <w:tblPr>
        <w:tblStyle w:val="TableGrid"/>
        <w:tblpPr w:leftFromText="180" w:rightFromText="180" w:vertAnchor="text" w:horzAnchor="margin" w:tblpXSpec="center" w:tblpY="138"/>
        <w:tblW w:w="9895" w:type="dxa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4675"/>
      </w:tblGrid>
      <w:tr w:rsidR="0003628F" w:rsidRPr="00500059" w:rsidTr="009E57C4">
        <w:trPr>
          <w:trHeight w:val="811"/>
        </w:trPr>
        <w:tc>
          <w:tcPr>
            <w:tcW w:w="3690" w:type="dxa"/>
          </w:tcPr>
          <w:p w:rsidR="0003628F" w:rsidRDefault="0003628F" w:rsidP="009E57C4">
            <w:pPr>
              <w:tabs>
                <w:tab w:val="center" w:pos="567"/>
              </w:tabs>
              <w:rPr>
                <w:b/>
                <w:color w:val="000000" w:themeColor="text1"/>
              </w:rPr>
            </w:pPr>
            <w:r w:rsidRPr="00AD4501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>Curricular Objective for Residents with Degree of Mastery*</w:t>
            </w:r>
          </w:p>
          <w:p w:rsidR="0003628F" w:rsidRPr="009D1F06" w:rsidRDefault="0003628F" w:rsidP="009E57C4">
            <w:pPr>
              <w:tabs>
                <w:tab w:val="center" w:pos="567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:rsidR="0003628F" w:rsidRPr="00610CE5" w:rsidRDefault="0003628F" w:rsidP="009E57C4">
            <w:pPr>
              <w:jc w:val="center"/>
              <w:rPr>
                <w:b/>
                <w:color w:val="000000" w:themeColor="text1"/>
              </w:rPr>
            </w:pPr>
            <w:r w:rsidRPr="00610CE5">
              <w:rPr>
                <w:b/>
                <w:color w:val="000000" w:themeColor="text1"/>
              </w:rPr>
              <w:t>Tool</w:t>
            </w:r>
          </w:p>
        </w:tc>
        <w:tc>
          <w:tcPr>
            <w:tcW w:w="4675" w:type="dxa"/>
          </w:tcPr>
          <w:p w:rsidR="0003628F" w:rsidRDefault="0003628F" w:rsidP="009E57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Example ACGME Curricular Milestone and Potential Levels</w:t>
            </w:r>
          </w:p>
          <w:p w:rsidR="0003628F" w:rsidRPr="00B14A1C" w:rsidRDefault="0003628F" w:rsidP="009E57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(IPEC domain**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>/</w:t>
            </w:r>
            <w:r w:rsidRPr="00B14A1C">
              <w:rPr>
                <w:b/>
                <w:color w:val="000000" w:themeColor="text1"/>
                <w:sz w:val="18"/>
                <w:szCs w:val="18"/>
              </w:rPr>
              <w:t>Geriatrics EPA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(G-EPA)</w:t>
            </w:r>
            <w:r w:rsidRPr="00B14A1C">
              <w:rPr>
                <w:b/>
                <w:color w:val="000000" w:themeColor="text1"/>
                <w:sz w:val="18"/>
                <w:szCs w:val="18"/>
              </w:rPr>
              <w:t xml:space="preserve"> with ACGME competency</w:t>
            </w:r>
            <w:r>
              <w:rPr>
                <w:b/>
                <w:color w:val="000000" w:themeColor="text1"/>
                <w:sz w:val="18"/>
                <w:szCs w:val="18"/>
              </w:rPr>
              <w:t>***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14A1C">
              <w:rPr>
                <w:b/>
                <w:color w:val="000000" w:themeColor="text1"/>
                <w:sz w:val="18"/>
                <w:szCs w:val="18"/>
              </w:rPr>
              <w:t>/</w:t>
            </w:r>
          </w:p>
          <w:p w:rsidR="0003628F" w:rsidRPr="00610CE5" w:rsidRDefault="0003628F" w:rsidP="009E57C4">
            <w:pPr>
              <w:jc w:val="center"/>
              <w:rPr>
                <w:b/>
                <w:color w:val="000000" w:themeColor="text1"/>
              </w:rPr>
            </w:pPr>
            <w:r w:rsidRPr="00B14A1C">
              <w:rPr>
                <w:b/>
                <w:color w:val="000000" w:themeColor="text1"/>
                <w:sz w:val="18"/>
                <w:szCs w:val="18"/>
              </w:rPr>
              <w:t>Palliative care EPA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(PC-EPA)</w:t>
            </w:r>
            <w:r w:rsidRPr="00B14A1C">
              <w:rPr>
                <w:b/>
                <w:color w:val="000000" w:themeColor="text1"/>
                <w:sz w:val="18"/>
                <w:szCs w:val="18"/>
              </w:rPr>
              <w:t xml:space="preserve"> with Palliative Care Domain</w:t>
            </w:r>
            <w:r>
              <w:rPr>
                <w:b/>
                <w:color w:val="000000" w:themeColor="text1"/>
                <w:sz w:val="18"/>
                <w:szCs w:val="18"/>
              </w:rPr>
              <w:t>****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03628F" w:rsidRPr="00500059" w:rsidTr="009E57C4">
        <w:trPr>
          <w:trHeight w:val="472"/>
        </w:trPr>
        <w:tc>
          <w:tcPr>
            <w:tcW w:w="3690" w:type="dxa"/>
          </w:tcPr>
          <w:p w:rsidR="0003628F" w:rsidRPr="00985271" w:rsidRDefault="0003628F" w:rsidP="009E57C4">
            <w:pPr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Depression Screen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85271">
              <w:rPr>
                <w:color w:val="000000" w:themeColor="text1"/>
                <w:vertAlign w:val="superscript"/>
              </w:rPr>
              <w:t xml:space="preserve">- </w:t>
            </w:r>
            <w:r w:rsidRPr="00985271">
              <w:rPr>
                <w:color w:val="000000" w:themeColor="text1"/>
              </w:rPr>
              <w:t>Administer, interpret and begin</w:t>
            </w:r>
            <w:r>
              <w:rPr>
                <w:color w:val="000000" w:themeColor="text1"/>
              </w:rPr>
              <w:t xml:space="preserve"> IP</w:t>
            </w:r>
            <w:r w:rsidRPr="00985271">
              <w:rPr>
                <w:color w:val="000000" w:themeColor="text1"/>
              </w:rPr>
              <w:t>T treatment for depression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Geriatric Depression Screen</w:t>
            </w:r>
            <w:r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4675" w:type="dxa"/>
          </w:tcPr>
          <w:p w:rsidR="0003628F" w:rsidRPr="0044141C" w:rsidRDefault="0003628F" w:rsidP="009E57C4">
            <w:pPr>
              <w:rPr>
                <w:color w:val="000000" w:themeColor="text1"/>
                <w:sz w:val="18"/>
                <w:szCs w:val="18"/>
              </w:rPr>
            </w:pPr>
            <w:r w:rsidRPr="00985271">
              <w:rPr>
                <w:color w:val="000000" w:themeColor="text1"/>
              </w:rPr>
              <w:t xml:space="preserve">Begins to integrate social and behavioral sciences with biomedical knowledge in patient care </w:t>
            </w:r>
            <w:r>
              <w:rPr>
                <w:color w:val="000000" w:themeColor="text1"/>
                <w:sz w:val="18"/>
                <w:szCs w:val="18"/>
              </w:rPr>
              <w:t xml:space="preserve">MK-2 level 2 </w:t>
            </w:r>
            <w:r w:rsidRPr="00985271">
              <w:rPr>
                <w:color w:val="000000" w:themeColor="text1"/>
                <w:sz w:val="18"/>
                <w:szCs w:val="18"/>
              </w:rPr>
              <w:t xml:space="preserve">(IPEC- D2 RR9/ </w:t>
            </w:r>
            <w:r>
              <w:rPr>
                <w:color w:val="000000" w:themeColor="text1"/>
                <w:sz w:val="18"/>
                <w:szCs w:val="18"/>
              </w:rPr>
              <w:t>G-EPA 4,7 PC, MK/PC-EPA</w:t>
            </w:r>
            <w:r w:rsidRPr="00985271">
              <w:rPr>
                <w:color w:val="000000" w:themeColor="text1"/>
                <w:sz w:val="18"/>
                <w:szCs w:val="18"/>
              </w:rPr>
              <w:t xml:space="preserve"> 4 PSM)</w:t>
            </w:r>
          </w:p>
        </w:tc>
      </w:tr>
      <w:tr w:rsidR="0003628F" w:rsidRPr="00500059" w:rsidTr="009E57C4">
        <w:trPr>
          <w:trHeight w:val="199"/>
        </w:trPr>
        <w:tc>
          <w:tcPr>
            <w:tcW w:w="3690" w:type="dxa"/>
            <w:vMerge w:val="restart"/>
          </w:tcPr>
          <w:p w:rsidR="0003628F" w:rsidRPr="00985271" w:rsidRDefault="0003628F" w:rsidP="009E57C4">
            <w:pPr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Fall Risk or Gait Assessment</w:t>
            </w:r>
            <w:r>
              <w:rPr>
                <w:color w:val="000000" w:themeColor="text1"/>
                <w:vertAlign w:val="superscript"/>
              </w:rPr>
              <w:t>6</w:t>
            </w:r>
            <w:r w:rsidRPr="00985271">
              <w:rPr>
                <w:color w:val="000000" w:themeColor="text1"/>
                <w:vertAlign w:val="superscript"/>
              </w:rPr>
              <w:t xml:space="preserve">- </w:t>
            </w:r>
            <w:r>
              <w:t>Conduct IP</w:t>
            </w:r>
            <w:r w:rsidRPr="00985271">
              <w:t xml:space="preserve">T screen, evaluation for causes, and manage conditions surrounding falls 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 xml:space="preserve">Get up and go </w:t>
            </w:r>
          </w:p>
        </w:tc>
        <w:tc>
          <w:tcPr>
            <w:tcW w:w="4675" w:type="dxa"/>
            <w:vMerge w:val="restart"/>
          </w:tcPr>
          <w:p w:rsidR="0003628F" w:rsidRPr="0044141C" w:rsidRDefault="0003628F" w:rsidP="009E57C4">
            <w:pPr>
              <w:rPr>
                <w:sz w:val="18"/>
                <w:szCs w:val="18"/>
              </w:rPr>
            </w:pPr>
            <w:r w:rsidRPr="00985271">
              <w:t xml:space="preserve">Consistently applies clinical guidelines to the treatment plan of the patient with chronic conditions </w:t>
            </w:r>
            <w:r>
              <w:rPr>
                <w:sz w:val="18"/>
                <w:szCs w:val="18"/>
              </w:rPr>
              <w:t xml:space="preserve">PC-2 level 3 </w:t>
            </w:r>
            <w:r w:rsidRPr="00985271">
              <w:rPr>
                <w:sz w:val="18"/>
                <w:szCs w:val="18"/>
              </w:rPr>
              <w:t>(IPEC-</w:t>
            </w:r>
            <w:r>
              <w:rPr>
                <w:sz w:val="18"/>
                <w:szCs w:val="18"/>
              </w:rPr>
              <w:t>D1 VE4</w:t>
            </w:r>
            <w:r w:rsidRPr="00985271">
              <w:rPr>
                <w:sz w:val="18"/>
                <w:szCs w:val="18"/>
              </w:rPr>
              <w:t xml:space="preserve"> /G-EPA 23 PC, MK/ PC-EPA 3 PSM)</w:t>
            </w:r>
          </w:p>
        </w:tc>
      </w:tr>
      <w:tr w:rsidR="0003628F" w:rsidRPr="00500059" w:rsidTr="009E57C4">
        <w:trPr>
          <w:trHeight w:val="390"/>
        </w:trPr>
        <w:tc>
          <w:tcPr>
            <w:tcW w:w="3690" w:type="dxa"/>
            <w:vMerge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proofErr w:type="spellStart"/>
            <w:r w:rsidRPr="00985271">
              <w:rPr>
                <w:color w:val="000000" w:themeColor="text1"/>
              </w:rPr>
              <w:t>Tinetti</w:t>
            </w:r>
            <w:proofErr w:type="spellEnd"/>
            <w:r w:rsidRPr="00985271">
              <w:rPr>
                <w:color w:val="000000" w:themeColor="text1"/>
              </w:rPr>
              <w:t xml:space="preserve"> POMA and Balance</w:t>
            </w:r>
            <w:r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4675" w:type="dxa"/>
            <w:vMerge/>
          </w:tcPr>
          <w:p w:rsidR="0003628F" w:rsidRPr="00985271" w:rsidRDefault="0003628F" w:rsidP="009E57C4">
            <w:pPr>
              <w:jc w:val="center"/>
            </w:pPr>
          </w:p>
        </w:tc>
      </w:tr>
      <w:tr w:rsidR="0003628F" w:rsidRPr="00500059" w:rsidTr="009E57C4">
        <w:trPr>
          <w:trHeight w:val="231"/>
        </w:trPr>
        <w:tc>
          <w:tcPr>
            <w:tcW w:w="3690" w:type="dxa"/>
            <w:vMerge w:val="restart"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 xml:space="preserve">Cognitive evaluation- </w:t>
            </w:r>
            <w:r>
              <w:rPr>
                <w:color w:val="000000" w:themeColor="text1"/>
              </w:rPr>
              <w:t>IPT administration</w:t>
            </w:r>
            <w:r w:rsidRPr="00985271">
              <w:rPr>
                <w:color w:val="000000" w:themeColor="text1"/>
              </w:rPr>
              <w:t xml:space="preserve"> and interpret</w:t>
            </w:r>
            <w:r w:rsidR="00C95190">
              <w:rPr>
                <w:color w:val="000000" w:themeColor="text1"/>
              </w:rPr>
              <w:t>at</w:t>
            </w:r>
            <w:r>
              <w:rPr>
                <w:color w:val="000000" w:themeColor="text1"/>
              </w:rPr>
              <w:t>ion of</w:t>
            </w:r>
            <w:r w:rsidRPr="00985271">
              <w:rPr>
                <w:color w:val="000000" w:themeColor="text1"/>
              </w:rPr>
              <w:t xml:space="preserve"> validated tool for dementia and initiate treatment 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MOCA</w:t>
            </w:r>
            <w:r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4675" w:type="dxa"/>
            <w:vMerge w:val="restart"/>
          </w:tcPr>
          <w:p w:rsidR="0003628F" w:rsidRPr="0044141C" w:rsidRDefault="0003628F" w:rsidP="009E57C4">
            <w:pPr>
              <w:rPr>
                <w:sz w:val="18"/>
                <w:szCs w:val="18"/>
              </w:rPr>
            </w:pPr>
            <w:r w:rsidRPr="00985271">
              <w:t xml:space="preserve">Consistently applies clinical guidelines to the treatment plan of the patient with chronic conditions </w:t>
            </w:r>
            <w:r>
              <w:rPr>
                <w:sz w:val="18"/>
                <w:szCs w:val="18"/>
              </w:rPr>
              <w:t xml:space="preserve">PC-2 level 3 </w:t>
            </w:r>
            <w:r w:rsidRPr="009852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IPEC D2 RR3,5/</w:t>
            </w:r>
            <w:r w:rsidRPr="00985271">
              <w:rPr>
                <w:sz w:val="18"/>
                <w:szCs w:val="18"/>
              </w:rPr>
              <w:t>G-EPA 23 PC,MK/ PC-EPA 3 PSM)</w:t>
            </w:r>
          </w:p>
        </w:tc>
      </w:tr>
      <w:tr w:rsidR="0003628F" w:rsidRPr="00500059" w:rsidTr="009E57C4">
        <w:trPr>
          <w:trHeight w:val="53"/>
        </w:trPr>
        <w:tc>
          <w:tcPr>
            <w:tcW w:w="3690" w:type="dxa"/>
            <w:vMerge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proofErr w:type="spellStart"/>
            <w:r w:rsidRPr="00985271">
              <w:rPr>
                <w:color w:val="000000" w:themeColor="text1"/>
              </w:rPr>
              <w:t>Minicog</w:t>
            </w:r>
            <w:proofErr w:type="spellEnd"/>
            <w:r w:rsidRPr="0098527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4675" w:type="dxa"/>
            <w:vMerge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</w:rPr>
            </w:pPr>
          </w:p>
        </w:tc>
      </w:tr>
      <w:tr w:rsidR="0003628F" w:rsidRPr="00500059" w:rsidTr="009E57C4">
        <w:trPr>
          <w:trHeight w:val="603"/>
        </w:trPr>
        <w:tc>
          <w:tcPr>
            <w:tcW w:w="3690" w:type="dxa"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Medication review- Prescribe appropriate drugs and dosages, periodically review use and rational for use with Pharmacy provider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Medication reconciliation</w:t>
            </w:r>
          </w:p>
        </w:tc>
        <w:tc>
          <w:tcPr>
            <w:tcW w:w="4675" w:type="dxa"/>
          </w:tcPr>
          <w:p w:rsidR="0003628F" w:rsidRPr="0044141C" w:rsidRDefault="0003628F" w:rsidP="009E57C4">
            <w:pPr>
              <w:rPr>
                <w:color w:val="000000" w:themeColor="text1"/>
                <w:sz w:val="18"/>
                <w:szCs w:val="18"/>
              </w:rPr>
            </w:pPr>
            <w:r w:rsidRPr="00985271">
              <w:rPr>
                <w:color w:val="000000" w:themeColor="text1"/>
              </w:rPr>
              <w:t xml:space="preserve">Recognizes and reconciles knowledge of patient and medicine to act in patient’s best interest </w:t>
            </w:r>
            <w:r>
              <w:rPr>
                <w:color w:val="000000" w:themeColor="text1"/>
                <w:sz w:val="18"/>
                <w:szCs w:val="18"/>
              </w:rPr>
              <w:t xml:space="preserve">MK-2 level 3 </w:t>
            </w:r>
            <w:r w:rsidRPr="00985271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IPEC D2 RR3,5/</w:t>
            </w:r>
            <w:r w:rsidRPr="00985271">
              <w:rPr>
                <w:color w:val="000000" w:themeColor="text1"/>
                <w:sz w:val="18"/>
                <w:szCs w:val="18"/>
              </w:rPr>
              <w:t>G-EPA 1-3 PC, ICS, MK/ PC- EPA 2 C)</w:t>
            </w:r>
          </w:p>
        </w:tc>
      </w:tr>
      <w:tr w:rsidR="0003628F" w:rsidRPr="00500059" w:rsidTr="009E57C4">
        <w:trPr>
          <w:trHeight w:val="411"/>
        </w:trPr>
        <w:tc>
          <w:tcPr>
            <w:tcW w:w="3690" w:type="dxa"/>
            <w:vMerge w:val="restart"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Functional and symptom assessment-</w:t>
            </w:r>
          </w:p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 xml:space="preserve">Assess and manage symptoms and assess and maximize functional status </w:t>
            </w:r>
          </w:p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with</w:t>
            </w:r>
            <w:r>
              <w:rPr>
                <w:color w:val="000000" w:themeColor="text1"/>
              </w:rPr>
              <w:t xml:space="preserve"> IP</w:t>
            </w:r>
            <w:r w:rsidRPr="00985271">
              <w:rPr>
                <w:color w:val="000000" w:themeColor="text1"/>
              </w:rPr>
              <w:t>T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PPS</w:t>
            </w:r>
            <w:r>
              <w:rPr>
                <w:color w:val="000000" w:themeColor="text1"/>
                <w:vertAlign w:val="superscript"/>
              </w:rPr>
              <w:t>10</w:t>
            </w:r>
          </w:p>
          <w:p w:rsidR="0003628F" w:rsidRPr="00985271" w:rsidRDefault="0003628F" w:rsidP="009E57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5" w:type="dxa"/>
            <w:vMerge w:val="restart"/>
          </w:tcPr>
          <w:p w:rsidR="0003628F" w:rsidRPr="0044141C" w:rsidRDefault="0003628F" w:rsidP="009E57C4">
            <w:pPr>
              <w:rPr>
                <w:sz w:val="18"/>
                <w:szCs w:val="18"/>
              </w:rPr>
            </w:pPr>
            <w:r w:rsidRPr="00985271">
              <w:t>Maintains a focus on patient-centeredness and integrates all aspects of patient care to meet patients’ needs</w:t>
            </w:r>
            <w:r>
              <w:rPr>
                <w:sz w:val="18"/>
                <w:szCs w:val="18"/>
              </w:rPr>
              <w:t xml:space="preserve">. C-2 level 4 </w:t>
            </w:r>
            <w:r w:rsidRPr="009852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IPEC D2 RR3,5/</w:t>
            </w:r>
            <w:r w:rsidRPr="00985271">
              <w:rPr>
                <w:sz w:val="18"/>
                <w:szCs w:val="18"/>
              </w:rPr>
              <w:t>G-EPA 15,21,26 PC, MK, P, SBP, ICS/PC-EPA 14 PSM)</w:t>
            </w:r>
          </w:p>
        </w:tc>
      </w:tr>
      <w:tr w:rsidR="0003628F" w:rsidRPr="00500059" w:rsidTr="009E57C4">
        <w:trPr>
          <w:trHeight w:val="233"/>
        </w:trPr>
        <w:tc>
          <w:tcPr>
            <w:tcW w:w="3690" w:type="dxa"/>
            <w:vMerge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MESAS</w:t>
            </w:r>
            <w:r>
              <w:rPr>
                <w:color w:val="000000" w:themeColor="text1"/>
                <w:vertAlign w:val="superscript"/>
              </w:rPr>
              <w:t>11</w:t>
            </w:r>
          </w:p>
        </w:tc>
        <w:tc>
          <w:tcPr>
            <w:tcW w:w="4675" w:type="dxa"/>
            <w:vMerge/>
          </w:tcPr>
          <w:p w:rsidR="0003628F" w:rsidRPr="00985271" w:rsidRDefault="0003628F" w:rsidP="009E57C4"/>
        </w:tc>
      </w:tr>
      <w:tr w:rsidR="0003628F" w:rsidRPr="00500059" w:rsidTr="009E57C4">
        <w:trPr>
          <w:trHeight w:val="808"/>
        </w:trPr>
        <w:tc>
          <w:tcPr>
            <w:tcW w:w="3690" w:type="dxa"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Goals of care conversation- Develop treatment plans to incorporate goals, function, and symptom management</w:t>
            </w:r>
          </w:p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With</w:t>
            </w:r>
            <w:r>
              <w:rPr>
                <w:color w:val="000000" w:themeColor="text1"/>
              </w:rPr>
              <w:t xml:space="preserve"> IP</w:t>
            </w:r>
            <w:r w:rsidRPr="00985271">
              <w:rPr>
                <w:color w:val="000000" w:themeColor="text1"/>
              </w:rPr>
              <w:t>T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Narrative Description</w:t>
            </w:r>
          </w:p>
        </w:tc>
        <w:tc>
          <w:tcPr>
            <w:tcW w:w="4675" w:type="dxa"/>
          </w:tcPr>
          <w:p w:rsidR="0003628F" w:rsidRPr="0044141C" w:rsidRDefault="0003628F" w:rsidP="009E57C4">
            <w:pPr>
              <w:rPr>
                <w:sz w:val="18"/>
                <w:szCs w:val="18"/>
              </w:rPr>
            </w:pPr>
            <w:r w:rsidRPr="00985271">
              <w:t xml:space="preserve">Anticipates and develops a shared understanding of needs and desires with patients and </w:t>
            </w:r>
            <w:proofErr w:type="spellStart"/>
            <w:r w:rsidRPr="00985271">
              <w:t>famililes</w:t>
            </w:r>
            <w:proofErr w:type="spellEnd"/>
            <w:r w:rsidRPr="00985271">
              <w:t xml:space="preserve">; works in partnership to meet those needs. </w:t>
            </w:r>
            <w:r>
              <w:rPr>
                <w:sz w:val="18"/>
                <w:szCs w:val="18"/>
              </w:rPr>
              <w:t>PROF-3 level 4 (</w:t>
            </w:r>
            <w:r w:rsidRPr="00985271">
              <w:rPr>
                <w:sz w:val="18"/>
                <w:szCs w:val="18"/>
              </w:rPr>
              <w:t>IPEC D4 TT4/G-EPA 14, 26 PC, ICS, P, SBP, MK/PC-EPA 1 C</w:t>
            </w:r>
            <w:r w:rsidRPr="00985271">
              <w:t>)</w:t>
            </w:r>
          </w:p>
        </w:tc>
      </w:tr>
      <w:tr w:rsidR="0003628F" w:rsidRPr="00500059" w:rsidTr="009E57C4">
        <w:trPr>
          <w:trHeight w:val="808"/>
        </w:trPr>
        <w:tc>
          <w:tcPr>
            <w:tcW w:w="3690" w:type="dxa"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ACP (Advanced care planning) - Discuss and document ACP</w:t>
            </w:r>
            <w:r>
              <w:rPr>
                <w:color w:val="000000" w:themeColor="text1"/>
              </w:rPr>
              <w:t xml:space="preserve"> with IP</w:t>
            </w:r>
            <w:r w:rsidRPr="00985271">
              <w:rPr>
                <w:color w:val="000000" w:themeColor="text1"/>
              </w:rPr>
              <w:t>T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ACP Discussion and documents</w:t>
            </w:r>
          </w:p>
        </w:tc>
        <w:tc>
          <w:tcPr>
            <w:tcW w:w="4675" w:type="dxa"/>
          </w:tcPr>
          <w:p w:rsidR="0003628F" w:rsidRPr="0044141C" w:rsidRDefault="0003628F" w:rsidP="009E57C4">
            <w:pPr>
              <w:rPr>
                <w:sz w:val="18"/>
                <w:szCs w:val="18"/>
              </w:rPr>
            </w:pPr>
            <w:r w:rsidRPr="00985271">
              <w:t xml:space="preserve">Anticipates and develops a shared understanding of needs and desires with patients and families; works in partnership to meet those needs. </w:t>
            </w:r>
            <w:r w:rsidRPr="00985271">
              <w:rPr>
                <w:sz w:val="18"/>
                <w:szCs w:val="18"/>
              </w:rPr>
              <w:t>PROF-3 level 4</w:t>
            </w:r>
            <w:r>
              <w:rPr>
                <w:sz w:val="18"/>
                <w:szCs w:val="18"/>
              </w:rPr>
              <w:t xml:space="preserve"> </w:t>
            </w:r>
            <w:r w:rsidRPr="00985271">
              <w:rPr>
                <w:sz w:val="18"/>
                <w:szCs w:val="18"/>
              </w:rPr>
              <w:t xml:space="preserve">(IPEC D4 TT4/G-EPA 13, 26 PC, ICS, P, SBP, MK/ PC-EPA 7 </w:t>
            </w:r>
            <w:r>
              <w:rPr>
                <w:sz w:val="18"/>
                <w:szCs w:val="18"/>
              </w:rPr>
              <w:t>T</w:t>
            </w:r>
            <w:r w:rsidRPr="00985271">
              <w:rPr>
                <w:sz w:val="18"/>
                <w:szCs w:val="18"/>
              </w:rPr>
              <w:t>CB)</w:t>
            </w:r>
          </w:p>
        </w:tc>
      </w:tr>
      <w:tr w:rsidR="0003628F" w:rsidRPr="00500059" w:rsidTr="009E57C4">
        <w:trPr>
          <w:trHeight w:val="510"/>
        </w:trPr>
        <w:tc>
          <w:tcPr>
            <w:tcW w:w="3690" w:type="dxa"/>
            <w:vMerge w:val="restart"/>
          </w:tcPr>
          <w:p w:rsidR="0003628F" w:rsidRPr="00985271" w:rsidRDefault="0003628F" w:rsidP="009E57C4">
            <w:pPr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Collaborative discussion- Discuss and identify patient needs with care team and address with patient and  family</w:t>
            </w: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</w:rPr>
            </w:pPr>
            <w:r w:rsidRPr="00985271">
              <w:rPr>
                <w:color w:val="000000" w:themeColor="text1"/>
              </w:rPr>
              <w:t>IDT discussion</w:t>
            </w:r>
          </w:p>
        </w:tc>
        <w:tc>
          <w:tcPr>
            <w:tcW w:w="4675" w:type="dxa"/>
            <w:vMerge w:val="restart"/>
          </w:tcPr>
          <w:p w:rsidR="0003628F" w:rsidRPr="0044141C" w:rsidRDefault="0003628F" w:rsidP="009E57C4">
            <w:pPr>
              <w:rPr>
                <w:sz w:val="18"/>
                <w:szCs w:val="18"/>
              </w:rPr>
            </w:pPr>
            <w:r w:rsidRPr="00985271">
              <w:t xml:space="preserve">Role models leadership, integration, and optimization of care teams to provide quality, individualized patient care </w:t>
            </w:r>
            <w:r w:rsidRPr="00985271">
              <w:rPr>
                <w:sz w:val="18"/>
                <w:szCs w:val="18"/>
              </w:rPr>
              <w:t>SBP-4 level 5</w:t>
            </w:r>
            <w:r>
              <w:rPr>
                <w:sz w:val="18"/>
                <w:szCs w:val="18"/>
              </w:rPr>
              <w:t xml:space="preserve"> </w:t>
            </w:r>
            <w:r w:rsidRPr="009852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IPEC D3 CC8, D1 VE6/</w:t>
            </w:r>
            <w:r w:rsidRPr="00985271">
              <w:rPr>
                <w:sz w:val="18"/>
                <w:szCs w:val="18"/>
              </w:rPr>
              <w:t>G-EPA 16, 21 PC, ICS, P, SBP/ PC-EPA 9,10,17 C, PCPP)</w:t>
            </w:r>
          </w:p>
        </w:tc>
      </w:tr>
      <w:tr w:rsidR="0003628F" w:rsidRPr="00500059" w:rsidTr="009E57C4">
        <w:trPr>
          <w:trHeight w:val="510"/>
        </w:trPr>
        <w:tc>
          <w:tcPr>
            <w:tcW w:w="3690" w:type="dxa"/>
            <w:vMerge/>
          </w:tcPr>
          <w:p w:rsidR="0003628F" w:rsidRDefault="0003628F" w:rsidP="009E57C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03628F" w:rsidRPr="00985271" w:rsidRDefault="0003628F" w:rsidP="009E57C4">
            <w:pPr>
              <w:jc w:val="center"/>
              <w:rPr>
                <w:color w:val="000000" w:themeColor="text1"/>
                <w:vertAlign w:val="superscript"/>
              </w:rPr>
            </w:pPr>
            <w:r w:rsidRPr="00985271">
              <w:rPr>
                <w:color w:val="000000" w:themeColor="text1"/>
              </w:rPr>
              <w:t>RAM caregiver assessment</w:t>
            </w:r>
            <w:r>
              <w:rPr>
                <w:color w:val="000000" w:themeColor="text1"/>
                <w:vertAlign w:val="superscript"/>
              </w:rPr>
              <w:t>12</w:t>
            </w:r>
          </w:p>
        </w:tc>
        <w:tc>
          <w:tcPr>
            <w:tcW w:w="4675" w:type="dxa"/>
            <w:vMerge/>
          </w:tcPr>
          <w:p w:rsidR="0003628F" w:rsidRPr="009041DF" w:rsidRDefault="0003628F" w:rsidP="009E57C4">
            <w:pPr>
              <w:rPr>
                <w:b/>
              </w:rPr>
            </w:pPr>
          </w:p>
        </w:tc>
      </w:tr>
    </w:tbl>
    <w:p w:rsidR="0003628F" w:rsidRDefault="0003628F" w:rsidP="0003628F">
      <w:pPr>
        <w:tabs>
          <w:tab w:val="center" w:pos="567"/>
        </w:tabs>
        <w:spacing w:after="0" w:line="240" w:lineRule="auto"/>
        <w:ind w:left="144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*</w:t>
      </w:r>
      <w:r w:rsidRPr="005A3F19">
        <w:rPr>
          <w:color w:val="000000" w:themeColor="text1"/>
          <w:sz w:val="16"/>
          <w:szCs w:val="16"/>
        </w:rPr>
        <w:t>R1 demonstrate understanding during didactic and collaboration with MH and pharmacy with FM faculty</w:t>
      </w:r>
      <w:r>
        <w:rPr>
          <w:color w:val="000000" w:themeColor="text1"/>
          <w:sz w:val="16"/>
          <w:szCs w:val="16"/>
        </w:rPr>
        <w:t xml:space="preserve">, </w:t>
      </w:r>
      <w:r w:rsidRPr="005A3F19">
        <w:rPr>
          <w:color w:val="000000" w:themeColor="text1"/>
          <w:sz w:val="16"/>
          <w:szCs w:val="16"/>
        </w:rPr>
        <w:t>R2 demonstrate tools during visit and independent collaboration with MH and pharmacy</w:t>
      </w:r>
      <w:r>
        <w:rPr>
          <w:color w:val="000000" w:themeColor="text1"/>
          <w:sz w:val="16"/>
          <w:szCs w:val="16"/>
        </w:rPr>
        <w:t xml:space="preserve">, </w:t>
      </w:r>
      <w:r w:rsidRPr="005A3F19">
        <w:rPr>
          <w:color w:val="000000" w:themeColor="text1"/>
          <w:sz w:val="16"/>
          <w:szCs w:val="16"/>
        </w:rPr>
        <w:t>R3 teach tools during visit and collabor</w:t>
      </w:r>
      <w:r>
        <w:rPr>
          <w:color w:val="000000" w:themeColor="text1"/>
          <w:sz w:val="16"/>
          <w:szCs w:val="16"/>
        </w:rPr>
        <w:t>ate with MH</w:t>
      </w:r>
      <w:r w:rsidRPr="005A3F19">
        <w:rPr>
          <w:color w:val="000000" w:themeColor="text1"/>
          <w:sz w:val="16"/>
          <w:szCs w:val="16"/>
        </w:rPr>
        <w:t>, pharmacy and medical students</w:t>
      </w:r>
    </w:p>
    <w:p w:rsidR="0003628F" w:rsidRPr="0044141C" w:rsidRDefault="0003628F" w:rsidP="0003628F">
      <w:pPr>
        <w:spacing w:after="0" w:line="240" w:lineRule="auto"/>
        <w:ind w:left="144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**</w:t>
      </w:r>
      <w:r>
        <w:rPr>
          <w:color w:val="000000" w:themeColor="text1"/>
          <w:sz w:val="16"/>
          <w:szCs w:val="16"/>
        </w:rPr>
        <w:t xml:space="preserve">IPEC D1 Values/Ethics, D2 Roles/Responsibilities, D3 </w:t>
      </w:r>
      <w:proofErr w:type="spellStart"/>
      <w:r>
        <w:rPr>
          <w:color w:val="000000" w:themeColor="text1"/>
          <w:sz w:val="16"/>
          <w:szCs w:val="16"/>
        </w:rPr>
        <w:t>Interprofessional</w:t>
      </w:r>
      <w:proofErr w:type="spellEnd"/>
      <w:r>
        <w:rPr>
          <w:color w:val="000000" w:themeColor="text1"/>
          <w:sz w:val="16"/>
          <w:szCs w:val="16"/>
        </w:rPr>
        <w:t xml:space="preserve"> Communication, D4 Teams and Teamwork ***Abbreviations for Geriatric Competencies: </w:t>
      </w:r>
      <w:r w:rsidRPr="005F0E63">
        <w:rPr>
          <w:color w:val="000000" w:themeColor="text1"/>
          <w:sz w:val="16"/>
          <w:szCs w:val="16"/>
        </w:rPr>
        <w:t>PC- Patient Care, ICS-interpersonal and communications skills, SBP-systems based practice, P-professionalism, MK-</w:t>
      </w:r>
      <w:r>
        <w:rPr>
          <w:color w:val="000000" w:themeColor="text1"/>
          <w:sz w:val="16"/>
          <w:szCs w:val="16"/>
        </w:rPr>
        <w:t xml:space="preserve"> </w:t>
      </w:r>
      <w:r w:rsidRPr="005F0E63">
        <w:rPr>
          <w:color w:val="000000" w:themeColor="text1"/>
          <w:sz w:val="16"/>
          <w:szCs w:val="16"/>
        </w:rPr>
        <w:t xml:space="preserve">Medical Knowledge- competencies towards milestones AGS </w:t>
      </w:r>
      <w:r>
        <w:rPr>
          <w:color w:val="000000" w:themeColor="text1"/>
          <w:sz w:val="16"/>
          <w:szCs w:val="16"/>
          <w:vertAlign w:val="superscript"/>
        </w:rPr>
        <w:t>27</w:t>
      </w:r>
      <w:r>
        <w:rPr>
          <w:color w:val="000000" w:themeColor="text1"/>
          <w:sz w:val="16"/>
          <w:szCs w:val="16"/>
        </w:rPr>
        <w:t xml:space="preserve">****Abbreviations for Palliative Care Domains: </w:t>
      </w:r>
      <w:r w:rsidRPr="00A972C6">
        <w:rPr>
          <w:color w:val="000000" w:themeColor="text1"/>
          <w:sz w:val="16"/>
          <w:szCs w:val="16"/>
        </w:rPr>
        <w:t>PCPP</w:t>
      </w:r>
      <w:r w:rsidRPr="005F0E63">
        <w:rPr>
          <w:color w:val="000000" w:themeColor="text1"/>
          <w:sz w:val="16"/>
          <w:szCs w:val="16"/>
        </w:rPr>
        <w:t xml:space="preserve">- palliative care principles </w:t>
      </w:r>
      <w:r w:rsidRPr="005F0E63">
        <w:rPr>
          <w:color w:val="000000" w:themeColor="text1"/>
          <w:sz w:val="16"/>
          <w:szCs w:val="16"/>
        </w:rPr>
        <w:lastRenderedPageBreak/>
        <w:t xml:space="preserve">and practice, C- Communications, PSM- Pain and Symptom management- palliative care domains, PSC- psychosocial, spiritual, and cultural aspects of care, TCB- terminal care and bereavement </w:t>
      </w:r>
    </w:p>
    <w:p w:rsidR="0003628F" w:rsidRDefault="0003628F" w:rsidP="0003628F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3628F" w:rsidRDefault="0003628F" w:rsidP="0003628F">
      <w:pPr>
        <w:rPr>
          <w:sz w:val="16"/>
          <w:szCs w:val="16"/>
        </w:rPr>
      </w:pPr>
      <w:r w:rsidRPr="00D07293">
        <w:rPr>
          <w:sz w:val="16"/>
          <w:szCs w:val="16"/>
        </w:rPr>
        <w:lastRenderedPageBreak/>
        <w:t xml:space="preserve">References </w:t>
      </w:r>
      <w:r>
        <w:rPr>
          <w:sz w:val="16"/>
          <w:szCs w:val="16"/>
        </w:rPr>
        <w:t>for Appendix 1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proofErr w:type="spellStart"/>
      <w:r w:rsidRPr="00D07293">
        <w:rPr>
          <w:rStyle w:val="A5"/>
          <w:sz w:val="16"/>
          <w:szCs w:val="16"/>
        </w:rPr>
        <w:t>Interprofessional</w:t>
      </w:r>
      <w:proofErr w:type="spellEnd"/>
      <w:r w:rsidRPr="00D07293">
        <w:rPr>
          <w:rStyle w:val="A5"/>
          <w:sz w:val="16"/>
          <w:szCs w:val="16"/>
        </w:rPr>
        <w:t xml:space="preserve"> Education Collaborative Expert Panel. (2011). </w:t>
      </w:r>
      <w:r w:rsidRPr="00D07293">
        <w:rPr>
          <w:rStyle w:val="A5"/>
          <w:i/>
          <w:iCs/>
          <w:sz w:val="16"/>
          <w:szCs w:val="16"/>
        </w:rPr>
        <w:t xml:space="preserve">Core competencies for </w:t>
      </w:r>
      <w:proofErr w:type="spellStart"/>
      <w:r w:rsidRPr="00D07293">
        <w:rPr>
          <w:rStyle w:val="A5"/>
          <w:i/>
          <w:iCs/>
          <w:sz w:val="16"/>
          <w:szCs w:val="16"/>
        </w:rPr>
        <w:t>interprofessional</w:t>
      </w:r>
      <w:proofErr w:type="spellEnd"/>
      <w:r w:rsidRPr="00D07293">
        <w:rPr>
          <w:rStyle w:val="A5"/>
          <w:i/>
          <w:iCs/>
          <w:sz w:val="16"/>
          <w:szCs w:val="16"/>
        </w:rPr>
        <w:t xml:space="preserve"> collaborative practice: Report of an expert panel. </w:t>
      </w:r>
      <w:r w:rsidRPr="00D07293">
        <w:rPr>
          <w:rStyle w:val="A5"/>
          <w:sz w:val="16"/>
          <w:szCs w:val="16"/>
        </w:rPr>
        <w:t xml:space="preserve">Washington, D.C.: </w:t>
      </w:r>
      <w:proofErr w:type="spellStart"/>
      <w:r w:rsidRPr="00D07293">
        <w:rPr>
          <w:rStyle w:val="A5"/>
          <w:sz w:val="16"/>
          <w:szCs w:val="16"/>
        </w:rPr>
        <w:t>Interprofessional</w:t>
      </w:r>
      <w:proofErr w:type="spellEnd"/>
      <w:r w:rsidRPr="00D07293">
        <w:rPr>
          <w:rStyle w:val="A5"/>
          <w:sz w:val="16"/>
          <w:szCs w:val="16"/>
        </w:rPr>
        <w:t xml:space="preserve"> Education Collaborative.</w:t>
      </w:r>
      <w:r w:rsidRPr="00D07293"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sz w:val="16"/>
          <w:szCs w:val="16"/>
        </w:rPr>
        <w:t xml:space="preserve">Williams B </w:t>
      </w:r>
      <w:proofErr w:type="spellStart"/>
      <w:r w:rsidRPr="00D07293">
        <w:rPr>
          <w:sz w:val="16"/>
          <w:szCs w:val="16"/>
        </w:rPr>
        <w:t>Warshaw</w:t>
      </w:r>
      <w:proofErr w:type="spellEnd"/>
      <w:r w:rsidRPr="00D07293">
        <w:rPr>
          <w:sz w:val="16"/>
          <w:szCs w:val="16"/>
        </w:rPr>
        <w:t xml:space="preserve"> G, </w:t>
      </w:r>
      <w:proofErr w:type="spellStart"/>
      <w:r w:rsidRPr="00D07293">
        <w:rPr>
          <w:sz w:val="16"/>
          <w:szCs w:val="16"/>
        </w:rPr>
        <w:t>Fabiny</w:t>
      </w:r>
      <w:proofErr w:type="spellEnd"/>
      <w:r w:rsidRPr="00D07293">
        <w:rPr>
          <w:sz w:val="16"/>
          <w:szCs w:val="16"/>
        </w:rPr>
        <w:t xml:space="preserve"> A, </w:t>
      </w:r>
      <w:proofErr w:type="spellStart"/>
      <w:r w:rsidRPr="00D07293">
        <w:rPr>
          <w:sz w:val="16"/>
          <w:szCs w:val="16"/>
        </w:rPr>
        <w:t>Lundebjerg</w:t>
      </w:r>
      <w:proofErr w:type="spellEnd"/>
      <w:r w:rsidRPr="00D07293">
        <w:rPr>
          <w:sz w:val="16"/>
          <w:szCs w:val="16"/>
        </w:rPr>
        <w:t xml:space="preserve"> N, Medina-Walpole A, </w:t>
      </w:r>
      <w:proofErr w:type="spellStart"/>
      <w:proofErr w:type="gramStart"/>
      <w:r w:rsidRPr="00D07293">
        <w:rPr>
          <w:sz w:val="16"/>
          <w:szCs w:val="16"/>
        </w:rPr>
        <w:t>Sauvigne</w:t>
      </w:r>
      <w:proofErr w:type="spellEnd"/>
      <w:proofErr w:type="gramEnd"/>
      <w:r w:rsidRPr="00D07293">
        <w:rPr>
          <w:sz w:val="16"/>
          <w:szCs w:val="16"/>
        </w:rPr>
        <w:t xml:space="preserve"> K, et al. Medicine in the 21st century: Recommended essential geriatrics competencies for Internal Medicine and Family Medicine residents. </w:t>
      </w:r>
      <w:r w:rsidRPr="00D07293">
        <w:rPr>
          <w:i/>
          <w:iCs/>
          <w:sz w:val="16"/>
          <w:szCs w:val="16"/>
        </w:rPr>
        <w:t>Journal of Graduate Medical Education 2010, 2(3)</w:t>
      </w:r>
      <w:r w:rsidRPr="00D07293">
        <w:rPr>
          <w:sz w:val="16"/>
          <w:szCs w:val="16"/>
        </w:rPr>
        <w:t xml:space="preserve">, 373-383.  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rFonts w:cs="Times New Roman"/>
          <w:sz w:val="16"/>
          <w:szCs w:val="16"/>
        </w:rPr>
        <w:t xml:space="preserve">Schaefer KG, Chittenden EH, Sullivan AM, </w:t>
      </w:r>
      <w:proofErr w:type="spellStart"/>
      <w:r w:rsidRPr="00D07293">
        <w:rPr>
          <w:rFonts w:cs="Times New Roman"/>
          <w:sz w:val="16"/>
          <w:szCs w:val="16"/>
        </w:rPr>
        <w:t>Periyakoil</w:t>
      </w:r>
      <w:proofErr w:type="spellEnd"/>
      <w:r w:rsidRPr="00D07293">
        <w:rPr>
          <w:rFonts w:cs="Times New Roman"/>
          <w:sz w:val="16"/>
          <w:szCs w:val="16"/>
        </w:rPr>
        <w:t xml:space="preserve"> VS, Morrison LJ, and Carey EC </w:t>
      </w:r>
      <w:proofErr w:type="spellStart"/>
      <w:r w:rsidRPr="00D07293">
        <w:rPr>
          <w:rFonts w:cs="Times New Roman"/>
          <w:sz w:val="16"/>
          <w:szCs w:val="16"/>
        </w:rPr>
        <w:t>etal</w:t>
      </w:r>
      <w:proofErr w:type="spellEnd"/>
      <w:r w:rsidRPr="00D07293">
        <w:rPr>
          <w:rFonts w:cs="Times New Roman"/>
          <w:sz w:val="16"/>
          <w:szCs w:val="16"/>
        </w:rPr>
        <w:t xml:space="preserve">. Raising the Bar for the Care of Seriously Ill Patients: Results of a National Survey to Define Essential Palliative Care Competencies for Medical Students and Residents.  </w:t>
      </w:r>
      <w:proofErr w:type="spellStart"/>
      <w:r w:rsidRPr="00D07293">
        <w:rPr>
          <w:rFonts w:cs="Times New Roman"/>
          <w:sz w:val="16"/>
          <w:szCs w:val="16"/>
        </w:rPr>
        <w:t>Acad</w:t>
      </w:r>
      <w:proofErr w:type="spellEnd"/>
      <w:r w:rsidRPr="00D07293">
        <w:rPr>
          <w:rFonts w:cs="Times New Roman"/>
          <w:sz w:val="16"/>
          <w:szCs w:val="16"/>
        </w:rPr>
        <w:t xml:space="preserve"> Med. 2014:89(7). 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sz w:val="16"/>
          <w:szCs w:val="16"/>
        </w:rPr>
        <w:t>Siu A</w:t>
      </w:r>
      <w:r w:rsidRPr="00D07293">
        <w:rPr>
          <w:rFonts w:eastAsia="Times New Roman" w:cs="Arial"/>
          <w:sz w:val="16"/>
          <w:szCs w:val="16"/>
        </w:rPr>
        <w:t xml:space="preserve">; U.S. Preventative Task Force, </w:t>
      </w:r>
      <w:hyperlink r:id="rId5" w:history="1">
        <w:proofErr w:type="spellStart"/>
        <w:r w:rsidRPr="00D07293">
          <w:rPr>
            <w:rFonts w:eastAsia="Times New Roman" w:cs="Arial"/>
            <w:sz w:val="16"/>
            <w:szCs w:val="16"/>
          </w:rPr>
          <w:t>Bibbins</w:t>
        </w:r>
        <w:proofErr w:type="spellEnd"/>
        <w:r w:rsidRPr="00D07293">
          <w:rPr>
            <w:rFonts w:eastAsia="Times New Roman" w:cs="Arial"/>
            <w:sz w:val="16"/>
            <w:szCs w:val="16"/>
          </w:rPr>
          <w:t>-Domingo K</w:t>
        </w:r>
      </w:hyperlink>
      <w:r w:rsidRPr="00D07293">
        <w:rPr>
          <w:rFonts w:eastAsia="Times New Roman" w:cs="Arial"/>
          <w:sz w:val="16"/>
          <w:szCs w:val="16"/>
        </w:rPr>
        <w:t xml:space="preserve">, </w:t>
      </w:r>
      <w:hyperlink r:id="rId6" w:history="1">
        <w:r w:rsidRPr="00D07293">
          <w:rPr>
            <w:rFonts w:eastAsia="Times New Roman" w:cs="Arial"/>
            <w:sz w:val="16"/>
            <w:szCs w:val="16"/>
          </w:rPr>
          <w:t>Grossman DC</w:t>
        </w:r>
      </w:hyperlink>
      <w:r w:rsidRPr="00D07293">
        <w:rPr>
          <w:rFonts w:eastAsia="Times New Roman" w:cs="Arial"/>
          <w:sz w:val="16"/>
          <w:szCs w:val="16"/>
        </w:rPr>
        <w:t xml:space="preserve">, </w:t>
      </w:r>
      <w:hyperlink r:id="rId7" w:history="1">
        <w:r w:rsidRPr="00D07293">
          <w:rPr>
            <w:rFonts w:eastAsia="Times New Roman" w:cs="Arial"/>
            <w:sz w:val="16"/>
            <w:szCs w:val="16"/>
          </w:rPr>
          <w:t>Baumann LC</w:t>
        </w:r>
      </w:hyperlink>
      <w:r w:rsidRPr="00D07293">
        <w:rPr>
          <w:rFonts w:eastAsia="Times New Roman" w:cs="Arial"/>
          <w:sz w:val="16"/>
          <w:szCs w:val="16"/>
        </w:rPr>
        <w:t xml:space="preserve">, </w:t>
      </w:r>
      <w:hyperlink r:id="rId8" w:history="1">
        <w:r w:rsidRPr="00D07293">
          <w:rPr>
            <w:rFonts w:eastAsia="Times New Roman" w:cs="Arial"/>
            <w:sz w:val="16"/>
            <w:szCs w:val="16"/>
          </w:rPr>
          <w:t>Davidson KW</w:t>
        </w:r>
      </w:hyperlink>
      <w:r w:rsidRPr="00D07293">
        <w:rPr>
          <w:rFonts w:eastAsia="Times New Roman" w:cs="Arial"/>
          <w:sz w:val="16"/>
          <w:szCs w:val="16"/>
        </w:rPr>
        <w:t xml:space="preserve">, </w:t>
      </w:r>
      <w:hyperlink r:id="rId9" w:history="1">
        <w:proofErr w:type="spellStart"/>
        <w:r w:rsidRPr="00D07293">
          <w:rPr>
            <w:rFonts w:eastAsia="Times New Roman" w:cs="Arial"/>
            <w:sz w:val="16"/>
            <w:szCs w:val="16"/>
          </w:rPr>
          <w:t>Ebell</w:t>
        </w:r>
        <w:proofErr w:type="spellEnd"/>
        <w:r w:rsidRPr="00D07293">
          <w:rPr>
            <w:rFonts w:eastAsia="Times New Roman" w:cs="Arial"/>
            <w:sz w:val="16"/>
            <w:szCs w:val="16"/>
          </w:rPr>
          <w:t xml:space="preserve"> M</w:t>
        </w:r>
      </w:hyperlink>
      <w:r w:rsidRPr="00D07293">
        <w:rPr>
          <w:rFonts w:eastAsia="Times New Roman" w:cs="Arial"/>
          <w:sz w:val="16"/>
          <w:szCs w:val="16"/>
          <w:vertAlign w:val="superscript"/>
        </w:rPr>
        <w:t xml:space="preserve"> </w:t>
      </w:r>
      <w:proofErr w:type="spellStart"/>
      <w:r w:rsidRPr="00D07293">
        <w:rPr>
          <w:rFonts w:eastAsia="Times New Roman" w:cs="Arial"/>
          <w:sz w:val="16"/>
          <w:szCs w:val="16"/>
        </w:rPr>
        <w:t>etal</w:t>
      </w:r>
      <w:proofErr w:type="spellEnd"/>
      <w:r w:rsidRPr="00D07293">
        <w:rPr>
          <w:rFonts w:eastAsia="Times New Roman" w:cs="Arial"/>
          <w:sz w:val="16"/>
          <w:szCs w:val="16"/>
        </w:rPr>
        <w:t xml:space="preserve">. Screening for Depression in Adults: US Preventive Services Task Force Recommendation Statement.  JAMA 2016; 315(4): 380-7. </w:t>
      </w:r>
      <w:proofErr w:type="spellStart"/>
      <w:proofErr w:type="gramStart"/>
      <w:r w:rsidRPr="00D07293">
        <w:rPr>
          <w:rFonts w:eastAsia="Times New Roman" w:cs="Arial"/>
          <w:sz w:val="16"/>
          <w:szCs w:val="16"/>
        </w:rPr>
        <w:t>doi</w:t>
      </w:r>
      <w:proofErr w:type="spellEnd"/>
      <w:proofErr w:type="gramEnd"/>
      <w:r w:rsidRPr="00D07293">
        <w:rPr>
          <w:rFonts w:eastAsia="Times New Roman" w:cs="Arial"/>
          <w:sz w:val="16"/>
          <w:szCs w:val="16"/>
        </w:rPr>
        <w:t>: 10.1001/jama.2015.18392.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sz w:val="16"/>
          <w:szCs w:val="16"/>
        </w:rPr>
        <w:t xml:space="preserve">Brown L, and </w:t>
      </w:r>
      <w:proofErr w:type="spellStart"/>
      <w:r w:rsidRPr="00D07293">
        <w:rPr>
          <w:sz w:val="16"/>
          <w:szCs w:val="16"/>
        </w:rPr>
        <w:t>Schinka</w:t>
      </w:r>
      <w:proofErr w:type="spellEnd"/>
      <w:r w:rsidRPr="00D07293">
        <w:rPr>
          <w:sz w:val="16"/>
          <w:szCs w:val="16"/>
        </w:rPr>
        <w:t xml:space="preserve"> J. Development and initial validation of a 15-item informant version of the Geriatric Depression Scale. </w:t>
      </w:r>
      <w:proofErr w:type="spellStart"/>
      <w:r w:rsidRPr="00D07293">
        <w:rPr>
          <w:sz w:val="16"/>
          <w:szCs w:val="16"/>
        </w:rPr>
        <w:t>Int</w:t>
      </w:r>
      <w:proofErr w:type="spellEnd"/>
      <w:r w:rsidRPr="00D07293">
        <w:rPr>
          <w:sz w:val="16"/>
          <w:szCs w:val="16"/>
        </w:rPr>
        <w:t xml:space="preserve"> J </w:t>
      </w:r>
      <w:proofErr w:type="spellStart"/>
      <w:r w:rsidRPr="00D07293">
        <w:rPr>
          <w:sz w:val="16"/>
          <w:szCs w:val="16"/>
        </w:rPr>
        <w:t>Geriatr</w:t>
      </w:r>
      <w:proofErr w:type="spellEnd"/>
      <w:r w:rsidRPr="00D07293">
        <w:rPr>
          <w:sz w:val="16"/>
          <w:szCs w:val="16"/>
        </w:rPr>
        <w:t xml:space="preserve"> Psychiatry 2005; 20:911-918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rFonts w:eastAsia="Times New Roman" w:cs="Helvetica"/>
          <w:sz w:val="16"/>
          <w:szCs w:val="16"/>
        </w:rPr>
        <w:t xml:space="preserve">Moyer, V; for U.S. Preventive Services Task Force. ; Prevention of </w:t>
      </w:r>
      <w:proofErr w:type="gramStart"/>
      <w:r w:rsidRPr="00D07293">
        <w:rPr>
          <w:rFonts w:eastAsia="Times New Roman" w:cs="Helvetica"/>
          <w:sz w:val="16"/>
          <w:szCs w:val="16"/>
        </w:rPr>
        <w:t>Falls</w:t>
      </w:r>
      <w:proofErr w:type="gramEnd"/>
      <w:r w:rsidRPr="00D07293">
        <w:rPr>
          <w:rFonts w:eastAsia="Times New Roman" w:cs="Helvetica"/>
          <w:sz w:val="16"/>
          <w:szCs w:val="16"/>
        </w:rPr>
        <w:t xml:space="preserve"> in Community Dwelling Older Adults: U.S. Preventive Task Force Recommendation Statement.</w:t>
      </w:r>
      <w:r w:rsidRPr="00D07293">
        <w:rPr>
          <w:rFonts w:eastAsia="Times New Roman" w:cs="Helvetica"/>
          <w:i/>
          <w:iCs/>
          <w:sz w:val="16"/>
          <w:szCs w:val="16"/>
        </w:rPr>
        <w:t xml:space="preserve"> Ann Intern Med. </w:t>
      </w:r>
      <w:r w:rsidRPr="00D07293">
        <w:rPr>
          <w:rFonts w:eastAsia="Times New Roman" w:cs="Helvetica"/>
          <w:sz w:val="16"/>
          <w:szCs w:val="16"/>
        </w:rPr>
        <w:t>2012</w:t>
      </w:r>
      <w:proofErr w:type="gramStart"/>
      <w:r w:rsidRPr="00D07293">
        <w:rPr>
          <w:rFonts w:eastAsia="Times New Roman" w:cs="Helvetica"/>
          <w:sz w:val="16"/>
          <w:szCs w:val="16"/>
        </w:rPr>
        <w:t>;157</w:t>
      </w:r>
      <w:proofErr w:type="gramEnd"/>
      <w:r w:rsidRPr="00D07293">
        <w:rPr>
          <w:rFonts w:eastAsia="Times New Roman" w:cs="Helvetica"/>
          <w:sz w:val="16"/>
          <w:szCs w:val="16"/>
        </w:rPr>
        <w:t xml:space="preserve">(3):197-204. 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proofErr w:type="spellStart"/>
      <w:r w:rsidRPr="00D07293">
        <w:rPr>
          <w:sz w:val="16"/>
          <w:szCs w:val="16"/>
        </w:rPr>
        <w:t>Panella</w:t>
      </w:r>
      <w:proofErr w:type="spellEnd"/>
      <w:r w:rsidRPr="00D07293">
        <w:rPr>
          <w:sz w:val="16"/>
          <w:szCs w:val="16"/>
        </w:rPr>
        <w:t xml:space="preserve"> L, </w:t>
      </w:r>
      <w:proofErr w:type="spellStart"/>
      <w:r w:rsidRPr="00D07293">
        <w:rPr>
          <w:sz w:val="16"/>
          <w:szCs w:val="16"/>
        </w:rPr>
        <w:t>Tinelli</w:t>
      </w:r>
      <w:proofErr w:type="spellEnd"/>
      <w:r w:rsidRPr="00D07293">
        <w:rPr>
          <w:sz w:val="16"/>
          <w:szCs w:val="16"/>
        </w:rPr>
        <w:t xml:space="preserve"> C, </w:t>
      </w:r>
      <w:proofErr w:type="spellStart"/>
      <w:r w:rsidRPr="00D07293">
        <w:rPr>
          <w:sz w:val="16"/>
          <w:szCs w:val="16"/>
        </w:rPr>
        <w:t>Buizza</w:t>
      </w:r>
      <w:proofErr w:type="spellEnd"/>
      <w:r w:rsidRPr="00D07293">
        <w:rPr>
          <w:sz w:val="16"/>
          <w:szCs w:val="16"/>
        </w:rPr>
        <w:t xml:space="preserve"> A, </w:t>
      </w:r>
      <w:proofErr w:type="gramStart"/>
      <w:r w:rsidRPr="00D07293">
        <w:rPr>
          <w:sz w:val="16"/>
          <w:szCs w:val="16"/>
        </w:rPr>
        <w:t>Lombardi</w:t>
      </w:r>
      <w:proofErr w:type="gramEnd"/>
      <w:r w:rsidRPr="00D07293">
        <w:rPr>
          <w:sz w:val="16"/>
          <w:szCs w:val="16"/>
        </w:rPr>
        <w:t xml:space="preserve"> R, </w:t>
      </w:r>
      <w:proofErr w:type="spellStart"/>
      <w:r w:rsidRPr="00D07293">
        <w:rPr>
          <w:sz w:val="16"/>
          <w:szCs w:val="16"/>
        </w:rPr>
        <w:t>Gandolfi</w:t>
      </w:r>
      <w:proofErr w:type="spellEnd"/>
      <w:r w:rsidRPr="00D07293">
        <w:rPr>
          <w:sz w:val="16"/>
          <w:szCs w:val="16"/>
        </w:rPr>
        <w:t xml:space="preserve"> R Towards objective evaluation of balance in the elderly: validity and reliability of a measurement instrument applied to the </w:t>
      </w:r>
      <w:proofErr w:type="spellStart"/>
      <w:r w:rsidRPr="00D07293">
        <w:rPr>
          <w:sz w:val="16"/>
          <w:szCs w:val="16"/>
        </w:rPr>
        <w:t>Tinetti</w:t>
      </w:r>
      <w:proofErr w:type="spellEnd"/>
      <w:r w:rsidRPr="00D07293">
        <w:rPr>
          <w:sz w:val="16"/>
          <w:szCs w:val="16"/>
        </w:rPr>
        <w:t xml:space="preserve"> Test. </w:t>
      </w:r>
      <w:proofErr w:type="spellStart"/>
      <w:r w:rsidRPr="00D07293">
        <w:rPr>
          <w:sz w:val="16"/>
          <w:szCs w:val="16"/>
        </w:rPr>
        <w:t>Int</w:t>
      </w:r>
      <w:proofErr w:type="spellEnd"/>
      <w:r w:rsidRPr="00D07293">
        <w:rPr>
          <w:sz w:val="16"/>
          <w:szCs w:val="16"/>
        </w:rPr>
        <w:t xml:space="preserve"> J </w:t>
      </w:r>
      <w:proofErr w:type="spellStart"/>
      <w:r w:rsidRPr="00D07293">
        <w:rPr>
          <w:sz w:val="16"/>
          <w:szCs w:val="16"/>
        </w:rPr>
        <w:t>Rehabil</w:t>
      </w:r>
      <w:proofErr w:type="spellEnd"/>
      <w:r w:rsidRPr="00D07293">
        <w:rPr>
          <w:sz w:val="16"/>
          <w:szCs w:val="16"/>
        </w:rPr>
        <w:t xml:space="preserve"> Res. 2008; 31(1)65-72.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sz w:val="16"/>
          <w:szCs w:val="16"/>
        </w:rPr>
        <w:t xml:space="preserve">McCulloch K; and TBI Edge task force of the Neurology section of the APTA, Hussey E; and the PD Edge task force of the Neurology APTA; Rehab Measures: Montreal Cognitive Assessment. http:// </w:t>
      </w:r>
      <w:hyperlink r:id="rId10" w:history="1">
        <w:r w:rsidRPr="00D07293">
          <w:rPr>
            <w:rStyle w:val="Hyperlink"/>
            <w:sz w:val="16"/>
            <w:szCs w:val="16"/>
          </w:rPr>
          <w:t>http://www.rehabmeasures.org/Lists/RehabMeasures/DispForm.aspx?ID=1055</w:t>
        </w:r>
      </w:hyperlink>
      <w:r w:rsidRPr="00D07293">
        <w:rPr>
          <w:sz w:val="16"/>
          <w:szCs w:val="16"/>
        </w:rPr>
        <w:t>. Accessed September 2, 2016.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proofErr w:type="spellStart"/>
      <w:r w:rsidRPr="00D07293">
        <w:rPr>
          <w:sz w:val="16"/>
          <w:szCs w:val="16"/>
        </w:rPr>
        <w:t>Borson</w:t>
      </w:r>
      <w:proofErr w:type="spellEnd"/>
      <w:r w:rsidRPr="00D07293">
        <w:rPr>
          <w:sz w:val="16"/>
          <w:szCs w:val="16"/>
        </w:rPr>
        <w:t xml:space="preserve"> S, </w:t>
      </w:r>
      <w:proofErr w:type="spellStart"/>
      <w:r w:rsidRPr="00D07293">
        <w:rPr>
          <w:sz w:val="16"/>
          <w:szCs w:val="16"/>
        </w:rPr>
        <w:t>Scanlan</w:t>
      </w:r>
      <w:proofErr w:type="spellEnd"/>
      <w:r w:rsidRPr="00D07293">
        <w:rPr>
          <w:sz w:val="16"/>
          <w:szCs w:val="16"/>
        </w:rPr>
        <w:t xml:space="preserve"> J, </w:t>
      </w:r>
      <w:proofErr w:type="spellStart"/>
      <w:proofErr w:type="gramStart"/>
      <w:r w:rsidRPr="00D07293">
        <w:rPr>
          <w:sz w:val="16"/>
          <w:szCs w:val="16"/>
        </w:rPr>
        <w:t>chen</w:t>
      </w:r>
      <w:proofErr w:type="spellEnd"/>
      <w:proofErr w:type="gramEnd"/>
      <w:r w:rsidRPr="00D07293">
        <w:rPr>
          <w:sz w:val="16"/>
          <w:szCs w:val="16"/>
        </w:rPr>
        <w:t xml:space="preserve"> P, </w:t>
      </w:r>
      <w:proofErr w:type="spellStart"/>
      <w:r w:rsidRPr="00D07293">
        <w:rPr>
          <w:sz w:val="16"/>
          <w:szCs w:val="16"/>
        </w:rPr>
        <w:t>Ganguli</w:t>
      </w:r>
      <w:proofErr w:type="spellEnd"/>
      <w:r w:rsidRPr="00D07293">
        <w:rPr>
          <w:sz w:val="16"/>
          <w:szCs w:val="16"/>
        </w:rPr>
        <w:t xml:space="preserve"> M.  The Mini-Cog as a screen for dementia: Validation in a Population-Based Sample. J Am </w:t>
      </w:r>
      <w:proofErr w:type="spellStart"/>
      <w:r w:rsidRPr="00D07293">
        <w:rPr>
          <w:sz w:val="16"/>
          <w:szCs w:val="16"/>
        </w:rPr>
        <w:t>Geriatr</w:t>
      </w:r>
      <w:proofErr w:type="spellEnd"/>
      <w:r w:rsidRPr="00D07293">
        <w:rPr>
          <w:sz w:val="16"/>
          <w:szCs w:val="16"/>
        </w:rPr>
        <w:t xml:space="preserve"> </w:t>
      </w:r>
      <w:proofErr w:type="spellStart"/>
      <w:r w:rsidRPr="00D07293">
        <w:rPr>
          <w:sz w:val="16"/>
          <w:szCs w:val="16"/>
        </w:rPr>
        <w:t>Soc</w:t>
      </w:r>
      <w:proofErr w:type="spellEnd"/>
      <w:r w:rsidRPr="00D07293">
        <w:rPr>
          <w:sz w:val="16"/>
          <w:szCs w:val="16"/>
        </w:rPr>
        <w:t xml:space="preserve"> 2003; 51(10) 1451-1454.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rFonts w:eastAsia="Times New Roman" w:cs="Times New Roman"/>
          <w:sz w:val="16"/>
          <w:szCs w:val="16"/>
          <w:lang w:val="en"/>
        </w:rPr>
        <w:t>Ho F,</w:t>
      </w:r>
      <w:r w:rsidRPr="00D07293">
        <w:rPr>
          <w:rFonts w:eastAsia="Times New Roman" w:cs="Times New Roman"/>
          <w:noProof/>
          <w:sz w:val="16"/>
          <w:szCs w:val="16"/>
          <w:vertAlign w:val="superscript"/>
        </w:rPr>
        <w:t xml:space="preserve"> </w:t>
      </w:r>
      <w:r w:rsidRPr="00D07293">
        <w:rPr>
          <w:rFonts w:eastAsia="Times New Roman" w:cs="Times New Roman"/>
          <w:noProof/>
          <w:sz w:val="16"/>
          <w:szCs w:val="16"/>
        </w:rPr>
        <w:t xml:space="preserve">Lau F, Downing M, and Lesperance M. </w:t>
      </w:r>
      <w:r w:rsidRPr="00D07293">
        <w:rPr>
          <w:rFonts w:eastAsia="Times New Roman" w:cs="Times New Roman"/>
          <w:sz w:val="16"/>
          <w:szCs w:val="16"/>
          <w:lang w:val="en"/>
        </w:rPr>
        <w:t xml:space="preserve">A reliability and validity study of the Palliative Performance Scale. BMC </w:t>
      </w:r>
      <w:proofErr w:type="spellStart"/>
      <w:r w:rsidRPr="00D07293">
        <w:rPr>
          <w:rFonts w:eastAsia="Times New Roman" w:cs="Times New Roman"/>
          <w:sz w:val="16"/>
          <w:szCs w:val="16"/>
          <w:lang w:val="en"/>
        </w:rPr>
        <w:t>Palliat</w:t>
      </w:r>
      <w:proofErr w:type="spellEnd"/>
      <w:r w:rsidRPr="00D07293">
        <w:rPr>
          <w:rFonts w:eastAsia="Times New Roman" w:cs="Times New Roman"/>
          <w:sz w:val="16"/>
          <w:szCs w:val="16"/>
          <w:lang w:val="en"/>
        </w:rPr>
        <w:t xml:space="preserve"> Care. 2008; Aug (7): 10. </w:t>
      </w:r>
      <w:proofErr w:type="spellStart"/>
      <w:r w:rsidRPr="00D07293">
        <w:rPr>
          <w:rFonts w:eastAsia="Times New Roman" w:cs="Times New Roman"/>
          <w:sz w:val="16"/>
          <w:szCs w:val="16"/>
          <w:lang w:val="en"/>
        </w:rPr>
        <w:t>doi</w:t>
      </w:r>
      <w:proofErr w:type="spellEnd"/>
      <w:r w:rsidRPr="00D07293">
        <w:rPr>
          <w:rFonts w:eastAsia="Times New Roman" w:cs="Times New Roman"/>
          <w:sz w:val="16"/>
          <w:szCs w:val="16"/>
          <w:lang w:val="en"/>
        </w:rPr>
        <w:t xml:space="preserve">: </w:t>
      </w:r>
      <w:hyperlink r:id="rId11" w:tgtFrame="pmc_ext" w:history="1">
        <w:r w:rsidRPr="00D07293">
          <w:rPr>
            <w:rFonts w:eastAsia="Times New Roman" w:cs="Times New Roman"/>
            <w:sz w:val="16"/>
            <w:szCs w:val="16"/>
            <w:lang w:val="en"/>
          </w:rPr>
          <w:t>10.1186/1472-684X-7-10</w:t>
        </w:r>
      </w:hyperlink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r w:rsidRPr="00D07293">
        <w:rPr>
          <w:rFonts w:eastAsiaTheme="majorEastAsia" w:cstheme="majorBidi"/>
          <w:sz w:val="16"/>
          <w:szCs w:val="16"/>
        </w:rPr>
        <w:t>Chang V, Hwang S, Feuerman M. Validation of the Edmonton Symptom Assessment Scale. Cancer 2000; 88:2164-71.</w:t>
      </w:r>
      <w:r w:rsidRPr="00D07293">
        <w:rPr>
          <w:sz w:val="16"/>
          <w:szCs w:val="16"/>
        </w:rPr>
        <w:t xml:space="preserve"> </w:t>
      </w:r>
    </w:p>
    <w:p w:rsidR="0003628F" w:rsidRPr="00D07293" w:rsidRDefault="0003628F" w:rsidP="0003628F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16"/>
          <w:szCs w:val="16"/>
          <w:shd w:val="clear" w:color="auto" w:fill="FFFFFF"/>
        </w:rPr>
      </w:pPr>
      <w:proofErr w:type="spellStart"/>
      <w:r w:rsidRPr="00D07293">
        <w:rPr>
          <w:sz w:val="16"/>
          <w:szCs w:val="16"/>
        </w:rPr>
        <w:t>Czaja</w:t>
      </w:r>
      <w:proofErr w:type="spellEnd"/>
      <w:r w:rsidRPr="00D07293">
        <w:rPr>
          <w:sz w:val="16"/>
          <w:szCs w:val="16"/>
        </w:rPr>
        <w:t xml:space="preserve"> S, </w:t>
      </w:r>
      <w:proofErr w:type="spellStart"/>
      <w:r w:rsidRPr="00D07293">
        <w:rPr>
          <w:sz w:val="16"/>
          <w:szCs w:val="16"/>
        </w:rPr>
        <w:t>Gitlin</w:t>
      </w:r>
      <w:proofErr w:type="spellEnd"/>
      <w:r w:rsidRPr="00D07293">
        <w:rPr>
          <w:sz w:val="16"/>
          <w:szCs w:val="16"/>
        </w:rPr>
        <w:t xml:space="preserve"> L, Schulz R, Zhang S, </w:t>
      </w:r>
      <w:proofErr w:type="spellStart"/>
      <w:r w:rsidRPr="00D07293">
        <w:rPr>
          <w:sz w:val="16"/>
          <w:szCs w:val="16"/>
        </w:rPr>
        <w:t>Burgio</w:t>
      </w:r>
      <w:proofErr w:type="spellEnd"/>
      <w:r w:rsidRPr="00D07293">
        <w:rPr>
          <w:sz w:val="16"/>
          <w:szCs w:val="16"/>
        </w:rPr>
        <w:t xml:space="preserve"> L, and Stevens A </w:t>
      </w:r>
      <w:proofErr w:type="spellStart"/>
      <w:r w:rsidRPr="00D07293">
        <w:rPr>
          <w:sz w:val="16"/>
          <w:szCs w:val="16"/>
        </w:rPr>
        <w:t>etal</w:t>
      </w:r>
      <w:proofErr w:type="spellEnd"/>
      <w:r w:rsidRPr="00D07293">
        <w:rPr>
          <w:sz w:val="16"/>
          <w:szCs w:val="16"/>
        </w:rPr>
        <w:t xml:space="preserve">. Development of the Risk Appraisal Measure (RAM): A Brief Screen to Identify Risk Areas and Guide Interventions for Dementia Caregivers. J Am </w:t>
      </w:r>
      <w:proofErr w:type="spellStart"/>
      <w:r w:rsidRPr="00D07293">
        <w:rPr>
          <w:sz w:val="16"/>
          <w:szCs w:val="16"/>
        </w:rPr>
        <w:t>Geraitr</w:t>
      </w:r>
      <w:proofErr w:type="spellEnd"/>
      <w:r w:rsidRPr="00D07293">
        <w:rPr>
          <w:sz w:val="16"/>
          <w:szCs w:val="16"/>
        </w:rPr>
        <w:t xml:space="preserve"> Soc. 2009 57(6):1064-1072.</w:t>
      </w:r>
      <w:r w:rsidRPr="00D07293">
        <w:rPr>
          <w:rFonts w:cs="Times New Roman"/>
          <w:sz w:val="16"/>
          <w:szCs w:val="16"/>
        </w:rPr>
        <w:t xml:space="preserve"> </w:t>
      </w:r>
    </w:p>
    <w:p w:rsidR="0003628F" w:rsidRPr="00D07293" w:rsidRDefault="0003628F" w:rsidP="0003628F">
      <w:pPr>
        <w:pStyle w:val="ListParagraph"/>
        <w:rPr>
          <w:sz w:val="16"/>
          <w:szCs w:val="16"/>
        </w:rPr>
      </w:pPr>
    </w:p>
    <w:p w:rsidR="00C44F2C" w:rsidRDefault="00901A5F"/>
    <w:sectPr w:rsidR="00C4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657"/>
    <w:multiLevelType w:val="hybridMultilevel"/>
    <w:tmpl w:val="AE6E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8F"/>
    <w:rsid w:val="0003628F"/>
    <w:rsid w:val="001A6A9D"/>
    <w:rsid w:val="00664297"/>
    <w:rsid w:val="00901A5F"/>
    <w:rsid w:val="00AD174F"/>
    <w:rsid w:val="00C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41DBC-F0E7-4382-870E-4EE63A9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28F"/>
    <w:pPr>
      <w:ind w:left="720"/>
      <w:contextualSpacing/>
    </w:pPr>
  </w:style>
  <w:style w:type="character" w:customStyle="1" w:styleId="A5">
    <w:name w:val="A5"/>
    <w:uiPriority w:val="99"/>
    <w:rsid w:val="0003628F"/>
    <w:rPr>
      <w:rFonts w:cs="Frutiger 45 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Davidson%20KW%5BAuthor%5D&amp;cauthor=true&amp;cauthor_uid=26813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Baumann%20LC%5BAuthor%5D&amp;cauthor=true&amp;cauthor_uid=268132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Grossman%20DC%5BAuthor%5D&amp;cauthor=true&amp;cauthor_uid=26813211" TargetMode="External"/><Relationship Id="rId11" Type="http://schemas.openxmlformats.org/officeDocument/2006/relationships/hyperlink" Target="http://dx.doi.org/10.1186%2F1472-684X-7-10" TargetMode="External"/><Relationship Id="rId5" Type="http://schemas.openxmlformats.org/officeDocument/2006/relationships/hyperlink" Target="http://www.ncbi.nlm.nih.gov/pubmed/?term=Bibbins-Domingo%20K%5BAuthor%5D&amp;cauthor=true&amp;cauthor_uid=26813211" TargetMode="External"/><Relationship Id="rId10" Type="http://schemas.openxmlformats.org/officeDocument/2006/relationships/hyperlink" Target="http://www.rehabmeasures.org/Lists/RehabMeasures/DispForm.aspx?ID=1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Ebell%20M%5BAuthor%5D&amp;cauthor=true&amp;cauthor_uid=26813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Kam, Janel</dc:creator>
  <cp:keywords/>
  <dc:description/>
  <cp:lastModifiedBy>Kam, Janel</cp:lastModifiedBy>
  <cp:revision>3</cp:revision>
  <dcterms:created xsi:type="dcterms:W3CDTF">2017-09-12T19:39:00Z</dcterms:created>
  <dcterms:modified xsi:type="dcterms:W3CDTF">2017-10-04T18:01:00Z</dcterms:modified>
</cp:coreProperties>
</file>