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49" w:rsidRPr="00CF4549" w:rsidRDefault="00CF4549" w:rsidP="00CF4549">
      <w:pPr>
        <w:shd w:val="clear" w:color="auto" w:fill="FFFFFF"/>
        <w:spacing w:after="0" w:line="216" w:lineRule="atLeast"/>
        <w:textAlignment w:val="center"/>
        <w:rPr>
          <w:rFonts w:ascii="Helvetica Neue" w:eastAsia="Times New Roman" w:hAnsi="Helvetica Neue" w:cs="Times New Roman"/>
          <w:color w:val="3B4045"/>
          <w:sz w:val="28"/>
          <w:szCs w:val="28"/>
        </w:rPr>
      </w:pPr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t xml:space="preserve">Definitions </w:t>
      </w:r>
    </w:p>
    <w:p w:rsidR="00CF4549" w:rsidRPr="00CF4549" w:rsidRDefault="00CF4549" w:rsidP="00CF4549">
      <w:pPr>
        <w:shd w:val="clear" w:color="auto" w:fill="FFFFFF"/>
        <w:spacing w:after="0" w:line="216" w:lineRule="atLeast"/>
        <w:textAlignment w:val="center"/>
        <w:rPr>
          <w:rFonts w:ascii="Helvetica Neue" w:eastAsia="Times New Roman" w:hAnsi="Helvetica Neue" w:cs="Times New Roman"/>
          <w:color w:val="3B4045"/>
          <w:spacing w:val="2"/>
          <w:sz w:val="28"/>
          <w:szCs w:val="28"/>
        </w:rPr>
      </w:pPr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br/>
        <w:t>•</w:t>
      </w:r>
      <w:proofErr w:type="spellStart"/>
      <w:r w:rsidRPr="00CF4549">
        <w:rPr>
          <w:rFonts w:ascii="Helvetica Neue" w:eastAsia="Times New Roman" w:hAnsi="Helvetica Neue" w:cs="Times New Roman"/>
          <w:b/>
          <w:color w:val="3B4045"/>
          <w:sz w:val="28"/>
          <w:szCs w:val="28"/>
        </w:rPr>
        <w:t>E</w:t>
      </w:r>
      <w:r w:rsidRPr="00CF4549">
        <w:rPr>
          <w:rFonts w:ascii="Helvetica Neue" w:eastAsia="Times New Roman" w:hAnsi="Helvetica Neue" w:cs="Times New Roman"/>
          <w:b/>
          <w:color w:val="3B4045"/>
          <w:spacing w:val="1"/>
          <w:sz w:val="28"/>
          <w:szCs w:val="28"/>
        </w:rPr>
        <w:t>ntrustable</w:t>
      </w:r>
      <w:proofErr w:type="spellEnd"/>
      <w:r w:rsidRPr="00CF4549">
        <w:rPr>
          <w:rFonts w:ascii="Helvetica Neue" w:eastAsia="Times New Roman" w:hAnsi="Helvetica Neue" w:cs="Times New Roman"/>
          <w:b/>
          <w:color w:val="3B4045"/>
          <w:spacing w:val="1"/>
          <w:sz w:val="28"/>
          <w:szCs w:val="28"/>
        </w:rPr>
        <w:t> </w:t>
      </w:r>
      <w:r w:rsidRPr="00CF4549">
        <w:rPr>
          <w:rFonts w:ascii="Helvetica Neue" w:eastAsia="Times New Roman" w:hAnsi="Helvetica Neue" w:cs="Times New Roman"/>
          <w:b/>
          <w:color w:val="3B4045"/>
          <w:sz w:val="28"/>
          <w:szCs w:val="28"/>
        </w:rPr>
        <w:t>P</w:t>
      </w:r>
      <w:r w:rsidRPr="00CF4549">
        <w:rPr>
          <w:rFonts w:ascii="Helvetica Neue" w:eastAsia="Times New Roman" w:hAnsi="Helvetica Neue" w:cs="Times New Roman"/>
          <w:b/>
          <w:color w:val="3B4045"/>
          <w:spacing w:val="1"/>
          <w:sz w:val="28"/>
          <w:szCs w:val="28"/>
        </w:rPr>
        <w:t>rofessional </w:t>
      </w:r>
      <w:r w:rsidRPr="00CF4549">
        <w:rPr>
          <w:rFonts w:ascii="Helvetica Neue" w:eastAsia="Times New Roman" w:hAnsi="Helvetica Neue" w:cs="Times New Roman"/>
          <w:b/>
          <w:color w:val="3B4045"/>
          <w:sz w:val="28"/>
          <w:szCs w:val="28"/>
        </w:rPr>
        <w:t>A</w:t>
      </w:r>
      <w:r w:rsidRPr="00CF4549">
        <w:rPr>
          <w:rFonts w:ascii="Helvetica Neue" w:eastAsia="Times New Roman" w:hAnsi="Helvetica Neue" w:cs="Times New Roman"/>
          <w:b/>
          <w:color w:val="3B4045"/>
          <w:spacing w:val="-2"/>
          <w:sz w:val="28"/>
          <w:szCs w:val="28"/>
        </w:rPr>
        <w:t>ctivity </w:t>
      </w:r>
      <w:r w:rsidRPr="00CF4549">
        <w:rPr>
          <w:rFonts w:ascii="Helvetica Neue" w:eastAsia="Times New Roman" w:hAnsi="Helvetica Neue" w:cs="Times New Roman"/>
          <w:b/>
          <w:color w:val="3B4045"/>
          <w:sz w:val="28"/>
          <w:szCs w:val="28"/>
        </w:rPr>
        <w:t>(</w:t>
      </w:r>
      <w:r w:rsidRPr="00CF4549">
        <w:rPr>
          <w:rFonts w:ascii="Helvetica Neue" w:eastAsia="Times New Roman" w:hAnsi="Helvetica Neue" w:cs="Times New Roman"/>
          <w:b/>
          <w:color w:val="3B4045"/>
          <w:spacing w:val="-23"/>
          <w:sz w:val="28"/>
          <w:szCs w:val="28"/>
        </w:rPr>
        <w:t>EPA</w:t>
      </w:r>
      <w:r w:rsidRPr="00CF4549">
        <w:rPr>
          <w:rFonts w:ascii="Helvetica Neue" w:eastAsia="Times New Roman" w:hAnsi="Helvetica Neue" w:cs="Times New Roman"/>
          <w:b/>
          <w:color w:val="3B4045"/>
          <w:spacing w:val="4"/>
          <w:sz w:val="28"/>
          <w:szCs w:val="28"/>
        </w:rPr>
        <w:t>):</w:t>
      </w:r>
      <w:r w:rsidRPr="00CF4549">
        <w:rPr>
          <w:rFonts w:ascii="Helvetica Neue" w:eastAsia="Times New Roman" w:hAnsi="Helvetica Neue" w:cs="Times New Roman"/>
          <w:color w:val="3B4045"/>
          <w:spacing w:val="4"/>
          <w:sz w:val="28"/>
          <w:szCs w:val="28"/>
        </w:rPr>
        <w:t> </w:t>
      </w:r>
      <w:r w:rsidRPr="00CF4549">
        <w:rPr>
          <w:rFonts w:ascii="Helvetica Neue" w:eastAsia="Times New Roman" w:hAnsi="Helvetica Neue" w:cs="Times New Roman"/>
          <w:color w:val="3B4045"/>
          <w:spacing w:val="-5"/>
          <w:sz w:val="28"/>
          <w:szCs w:val="28"/>
        </w:rPr>
        <w:t xml:space="preserve">EPAs are units of professional practice, </w:t>
      </w:r>
      <w:r w:rsidRPr="00CF4549">
        <w:rPr>
          <w:rFonts w:ascii="Helvetica Neue" w:eastAsia="Times New Roman" w:hAnsi="Helvetica Neue" w:cs="Times New Roman"/>
          <w:color w:val="3B4045"/>
          <w:spacing w:val="-6"/>
          <w:sz w:val="28"/>
          <w:szCs w:val="28"/>
        </w:rPr>
        <w:t>defined as tasks or responsibilities that trainees are </w:t>
      </w:r>
      <w:r w:rsidRPr="00CF4549">
        <w:rPr>
          <w:rFonts w:ascii="Helvetica Neue" w:eastAsia="Times New Roman" w:hAnsi="Helvetica Neue" w:cs="Times New Roman"/>
          <w:color w:val="3B4045"/>
          <w:spacing w:val="-7"/>
          <w:sz w:val="28"/>
          <w:szCs w:val="28"/>
        </w:rPr>
        <w:t>entrusted </w:t>
      </w:r>
      <w:r w:rsidRPr="00CF4549">
        <w:rPr>
          <w:rFonts w:ascii="Helvetica Neue" w:eastAsia="Times New Roman" w:hAnsi="Helvetica Neue" w:cs="Times New Roman"/>
          <w:color w:val="3B4045"/>
          <w:spacing w:val="1"/>
          <w:sz w:val="28"/>
          <w:szCs w:val="28"/>
        </w:rPr>
        <w:t xml:space="preserve">to perform </w:t>
      </w:r>
      <w:r w:rsidRPr="00CF4549">
        <w:rPr>
          <w:rFonts w:ascii="Helvetica Neue" w:eastAsia="Times New Roman" w:hAnsi="Helvetica Neue" w:cs="Times New Roman"/>
          <w:color w:val="3B4045"/>
          <w:spacing w:val="2"/>
          <w:sz w:val="28"/>
          <w:szCs w:val="28"/>
        </w:rPr>
        <w:t>unsupervised once they have attained sufficient specific competence</w:t>
      </w:r>
    </w:p>
    <w:p w:rsidR="00CF4549" w:rsidRPr="00CF4549" w:rsidRDefault="00CF4549" w:rsidP="00CF4549">
      <w:pPr>
        <w:shd w:val="clear" w:color="auto" w:fill="FFFFFF"/>
        <w:spacing w:after="0" w:line="216" w:lineRule="atLeast"/>
        <w:textAlignment w:val="center"/>
        <w:rPr>
          <w:rFonts w:ascii="Helvetica Neue" w:eastAsia="Times New Roman" w:hAnsi="Helvetica Neue" w:cs="Times New Roman"/>
          <w:color w:val="3B4045"/>
          <w:sz w:val="28"/>
          <w:szCs w:val="28"/>
        </w:rPr>
      </w:pPr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br/>
        <w:t>•</w:t>
      </w:r>
      <w:r w:rsidRPr="00CF4549">
        <w:rPr>
          <w:rFonts w:ascii="Helvetica Neue" w:eastAsia="Times New Roman" w:hAnsi="Helvetica Neue" w:cs="Times New Roman"/>
          <w:b/>
          <w:color w:val="3B4045"/>
          <w:sz w:val="28"/>
          <w:szCs w:val="28"/>
        </w:rPr>
        <w:t>Competency</w:t>
      </w:r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t>: </w:t>
      </w:r>
      <w:r w:rsidRPr="00CF4549">
        <w:rPr>
          <w:rFonts w:ascii="Helvetica Neue" w:eastAsia="Times New Roman" w:hAnsi="Helvetica Neue" w:cs="Times New Roman"/>
          <w:color w:val="3B4045"/>
          <w:spacing w:val="-5"/>
          <w:sz w:val="28"/>
          <w:szCs w:val="28"/>
        </w:rPr>
        <w:t xml:space="preserve">An observable ability of a health professional, integrating multiple </w:t>
      </w:r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t xml:space="preserve">components such as knowledge, skills, values, and attitudes. Since competencies are observable, they can be measured and assessed to ensure their acquisition </w:t>
      </w:r>
    </w:p>
    <w:p w:rsidR="00CF4549" w:rsidRPr="00CF4549" w:rsidRDefault="00CF4549" w:rsidP="00CF4549">
      <w:pPr>
        <w:shd w:val="clear" w:color="auto" w:fill="FFFFFF"/>
        <w:spacing w:after="0" w:line="216" w:lineRule="atLeast"/>
        <w:textAlignment w:val="center"/>
        <w:rPr>
          <w:rFonts w:ascii="Helvetica Neue" w:eastAsia="Times New Roman" w:hAnsi="Helvetica Neue" w:cs="Times New Roman"/>
          <w:color w:val="3B4045"/>
          <w:sz w:val="28"/>
          <w:szCs w:val="28"/>
        </w:rPr>
      </w:pPr>
    </w:p>
    <w:p w:rsidR="00CF4549" w:rsidRPr="00CF4549" w:rsidRDefault="00CF4549" w:rsidP="00CF4549">
      <w:pPr>
        <w:shd w:val="clear" w:color="auto" w:fill="FFFFFF"/>
        <w:spacing w:after="0" w:line="216" w:lineRule="atLeast"/>
        <w:textAlignment w:val="center"/>
        <w:rPr>
          <w:rFonts w:ascii="Helvetica Neue" w:eastAsia="Times New Roman" w:hAnsi="Helvetica Neue" w:cs="Times New Roman"/>
          <w:color w:val="3B4045"/>
          <w:sz w:val="28"/>
          <w:szCs w:val="28"/>
        </w:rPr>
      </w:pPr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t>•</w:t>
      </w:r>
      <w:r w:rsidRPr="00CF4549">
        <w:rPr>
          <w:rFonts w:ascii="Helvetica Neue" w:eastAsia="Times New Roman" w:hAnsi="Helvetica Neue" w:cs="Times New Roman"/>
          <w:b/>
          <w:color w:val="3B4045"/>
          <w:sz w:val="28"/>
          <w:szCs w:val="28"/>
        </w:rPr>
        <w:t>Educational Program Objectives </w:t>
      </w:r>
      <w:r w:rsidRPr="00CF4549">
        <w:rPr>
          <w:rFonts w:ascii="Helvetica Neue" w:eastAsia="Times New Roman" w:hAnsi="Helvetica Neue" w:cs="Times New Roman"/>
          <w:b/>
          <w:color w:val="3B4045"/>
          <w:spacing w:val="4"/>
          <w:sz w:val="28"/>
          <w:szCs w:val="28"/>
        </w:rPr>
        <w:t>(EPOs</w:t>
      </w:r>
      <w:r w:rsidRPr="00CF4549">
        <w:rPr>
          <w:rFonts w:ascii="Helvetica Neue" w:eastAsia="Times New Roman" w:hAnsi="Helvetica Neue" w:cs="Times New Roman"/>
          <w:color w:val="3B4045"/>
          <w:spacing w:val="4"/>
          <w:sz w:val="28"/>
          <w:szCs w:val="28"/>
        </w:rPr>
        <w:t>): </w:t>
      </w:r>
      <w:r w:rsidRPr="00CF4549">
        <w:rPr>
          <w:rFonts w:ascii="Helvetica Neue" w:eastAsia="Times New Roman" w:hAnsi="Helvetica Neue" w:cs="Times New Roman"/>
          <w:color w:val="3B4045"/>
          <w:spacing w:val="-2"/>
          <w:sz w:val="28"/>
          <w:szCs w:val="28"/>
        </w:rPr>
        <w:t>Sub-competencies </w:t>
      </w:r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t>that encompass the knowledge, skills, behaviors, and attitudes students are expected to exhibit as evidence of their achieving competencies necessary for graduation</w:t>
      </w:r>
    </w:p>
    <w:p w:rsidR="00CF4549" w:rsidRPr="00CF4549" w:rsidRDefault="00CF4549" w:rsidP="00CF4549">
      <w:pPr>
        <w:shd w:val="clear" w:color="auto" w:fill="FFFFFF"/>
        <w:spacing w:after="0" w:line="216" w:lineRule="atLeast"/>
        <w:textAlignment w:val="center"/>
        <w:rPr>
          <w:rFonts w:ascii="Helvetica Neue" w:eastAsia="Times New Roman" w:hAnsi="Helvetica Neue" w:cs="Times New Roman"/>
          <w:color w:val="3B4045"/>
          <w:sz w:val="28"/>
          <w:szCs w:val="28"/>
        </w:rPr>
      </w:pPr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br/>
        <w:t>•</w:t>
      </w:r>
      <w:r w:rsidRPr="00CF4549">
        <w:rPr>
          <w:rFonts w:ascii="Helvetica Neue" w:eastAsia="Times New Roman" w:hAnsi="Helvetica Neue" w:cs="Times New Roman"/>
          <w:b/>
          <w:color w:val="3B4045"/>
          <w:sz w:val="28"/>
          <w:szCs w:val="28"/>
        </w:rPr>
        <w:t>Milestone</w:t>
      </w:r>
      <w:r w:rsidRPr="00CF4549">
        <w:rPr>
          <w:rFonts w:ascii="Helvetica Neue" w:eastAsia="Times New Roman" w:hAnsi="Helvetica Neue" w:cs="Times New Roman"/>
          <w:color w:val="3B4045"/>
          <w:spacing w:val="6"/>
          <w:sz w:val="28"/>
          <w:szCs w:val="28"/>
        </w:rPr>
        <w:t>: </w:t>
      </w:r>
      <w:r w:rsidRPr="00CF4549">
        <w:rPr>
          <w:rFonts w:ascii="Helvetica Neue" w:eastAsia="Times New Roman" w:hAnsi="Helvetica Neue" w:cs="Times New Roman"/>
          <w:color w:val="3B4045"/>
          <w:spacing w:val="-6"/>
          <w:sz w:val="28"/>
          <w:szCs w:val="28"/>
        </w:rPr>
        <w:t xml:space="preserve">A milestone is a behavioral descriptor that marks a level of </w:t>
      </w:r>
    </w:p>
    <w:p w:rsidR="00AE0B19" w:rsidRDefault="00CF4549" w:rsidP="00AE0B19">
      <w:pPr>
        <w:shd w:val="clear" w:color="auto" w:fill="FFFFFF"/>
        <w:tabs>
          <w:tab w:val="left" w:pos="4992"/>
        </w:tabs>
        <w:spacing w:after="0" w:line="216" w:lineRule="atLeast"/>
        <w:textAlignment w:val="center"/>
        <w:rPr>
          <w:rFonts w:ascii="Helvetica Neue" w:eastAsia="Times New Roman" w:hAnsi="Helvetica Neue" w:cs="Times New Roman"/>
          <w:color w:val="3B4045"/>
          <w:sz w:val="28"/>
          <w:szCs w:val="28"/>
        </w:rPr>
      </w:pPr>
      <w:proofErr w:type="gramStart"/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t>performance</w:t>
      </w:r>
      <w:proofErr w:type="gramEnd"/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t xml:space="preserve"> for a given </w:t>
      </w:r>
      <w:r w:rsidRPr="00CF4549">
        <w:rPr>
          <w:rFonts w:ascii="Helvetica Neue" w:eastAsia="Times New Roman" w:hAnsi="Helvetica Neue" w:cs="Times New Roman"/>
          <w:color w:val="3B4045"/>
          <w:spacing w:val="-6"/>
          <w:sz w:val="28"/>
          <w:szCs w:val="28"/>
        </w:rPr>
        <w:t>competency</w:t>
      </w:r>
      <w:r w:rsidR="00AE0B19">
        <w:rPr>
          <w:rFonts w:ascii="Helvetica Neue" w:eastAsia="Times New Roman" w:hAnsi="Helvetica Neue" w:cs="Times New Roman"/>
          <w:color w:val="3B4045"/>
          <w:spacing w:val="-6"/>
          <w:sz w:val="28"/>
          <w:szCs w:val="28"/>
        </w:rPr>
        <w:tab/>
      </w:r>
    </w:p>
    <w:p w:rsidR="00AE0B19" w:rsidRDefault="00AE0B19" w:rsidP="00CF4549">
      <w:pPr>
        <w:shd w:val="clear" w:color="auto" w:fill="FFFFFF"/>
        <w:spacing w:after="0" w:line="216" w:lineRule="atLeast"/>
        <w:textAlignment w:val="center"/>
        <w:rPr>
          <w:rFonts w:ascii="Helvetica Neue" w:eastAsia="Times New Roman" w:hAnsi="Helvetica Neue" w:cs="Times New Roman"/>
          <w:color w:val="3B4045"/>
          <w:sz w:val="28"/>
          <w:szCs w:val="28"/>
        </w:rPr>
      </w:pPr>
    </w:p>
    <w:p w:rsidR="00CF4549" w:rsidRPr="00AE0B19" w:rsidRDefault="00CF4549" w:rsidP="00CF4549">
      <w:pPr>
        <w:shd w:val="clear" w:color="auto" w:fill="FFFFFF"/>
        <w:spacing w:after="0" w:line="216" w:lineRule="atLeast"/>
        <w:textAlignment w:val="center"/>
        <w:rPr>
          <w:rFonts w:ascii="Helvetica Neue" w:eastAsia="Times New Roman" w:hAnsi="Helvetica Neue" w:cs="Times New Roman"/>
          <w:color w:val="3B4045"/>
          <w:sz w:val="28"/>
          <w:szCs w:val="28"/>
        </w:rPr>
      </w:pPr>
      <w:proofErr w:type="spellStart"/>
      <w:r w:rsidRPr="00CF4549">
        <w:rPr>
          <w:rFonts w:ascii="Helvetica Neue" w:eastAsia="Times New Roman" w:hAnsi="Helvetica Neue" w:cs="Times New Roman"/>
          <w:b/>
          <w:color w:val="3B4045"/>
          <w:spacing w:val="2"/>
          <w:sz w:val="28"/>
          <w:szCs w:val="28"/>
        </w:rPr>
        <w:t>Entrustable</w:t>
      </w:r>
      <w:proofErr w:type="spellEnd"/>
      <w:r w:rsidRPr="00CF4549">
        <w:rPr>
          <w:rFonts w:ascii="Helvetica Neue" w:eastAsia="Times New Roman" w:hAnsi="Helvetica Neue" w:cs="Times New Roman"/>
          <w:color w:val="3B4045"/>
          <w:spacing w:val="-6"/>
          <w:sz w:val="28"/>
          <w:szCs w:val="28"/>
        </w:rPr>
        <w:t>:  </w:t>
      </w:r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t>Readiness </w:t>
      </w:r>
      <w:r w:rsidRPr="00CF4549">
        <w:rPr>
          <w:rFonts w:ascii="Helvetica Neue" w:eastAsia="Times New Roman" w:hAnsi="Helvetica Neue" w:cs="Times New Roman"/>
          <w:color w:val="3B4045"/>
          <w:spacing w:val="-6"/>
          <w:sz w:val="28"/>
          <w:szCs w:val="28"/>
        </w:rPr>
        <w:t xml:space="preserve">to perform the activity without direct supervision (under indirect supervision) </w:t>
      </w:r>
    </w:p>
    <w:p w:rsidR="00CF4549" w:rsidRPr="00CF4549" w:rsidRDefault="00CF4549" w:rsidP="00CF4549">
      <w:pPr>
        <w:shd w:val="clear" w:color="auto" w:fill="FFFFFF"/>
        <w:spacing w:after="0" w:line="216" w:lineRule="atLeast"/>
        <w:textAlignment w:val="center"/>
        <w:rPr>
          <w:rFonts w:ascii="Helvetica Neue" w:eastAsia="Times New Roman" w:hAnsi="Helvetica Neue" w:cs="Times New Roman"/>
          <w:color w:val="3B4045"/>
          <w:spacing w:val="-6"/>
          <w:sz w:val="28"/>
          <w:szCs w:val="28"/>
        </w:rPr>
      </w:pPr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br/>
        <w:t>•</w:t>
      </w:r>
      <w:r w:rsidRPr="00CF4549">
        <w:rPr>
          <w:rFonts w:ascii="Helvetica Neue" w:eastAsia="Times New Roman" w:hAnsi="Helvetica Neue" w:cs="Times New Roman"/>
          <w:b/>
          <w:color w:val="3B4045"/>
          <w:sz w:val="28"/>
          <w:szCs w:val="28"/>
        </w:rPr>
        <w:t>Pre-</w:t>
      </w:r>
      <w:proofErr w:type="spellStart"/>
      <w:r w:rsidRPr="00CF4549">
        <w:rPr>
          <w:rFonts w:ascii="Helvetica Neue" w:eastAsia="Times New Roman" w:hAnsi="Helvetica Neue" w:cs="Times New Roman"/>
          <w:b/>
          <w:color w:val="3B4045"/>
          <w:sz w:val="28"/>
          <w:szCs w:val="28"/>
        </w:rPr>
        <w:t>Entrustable</w:t>
      </w:r>
      <w:proofErr w:type="spellEnd"/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t>: </w:t>
      </w:r>
      <w:r w:rsidRPr="00CF4549">
        <w:rPr>
          <w:rFonts w:ascii="Helvetica Neue" w:eastAsia="Times New Roman" w:hAnsi="Helvetica Neue" w:cs="Times New Roman"/>
          <w:color w:val="3B4045"/>
          <w:spacing w:val="-6"/>
          <w:sz w:val="28"/>
          <w:szCs w:val="28"/>
        </w:rPr>
        <w:t>Not Ready . . .</w:t>
      </w:r>
    </w:p>
    <w:p w:rsidR="00CF4549" w:rsidRPr="00CF4549" w:rsidRDefault="00CF4549" w:rsidP="00CF4549">
      <w:pPr>
        <w:shd w:val="clear" w:color="auto" w:fill="FFFFFF"/>
        <w:spacing w:after="0" w:line="216" w:lineRule="atLeast"/>
        <w:textAlignment w:val="center"/>
        <w:rPr>
          <w:rFonts w:ascii="Helvetica Neue" w:eastAsia="Times New Roman" w:hAnsi="Helvetica Neue" w:cs="Times New Roman"/>
          <w:color w:val="3B4045"/>
          <w:spacing w:val="-6"/>
          <w:sz w:val="28"/>
          <w:szCs w:val="28"/>
        </w:rPr>
      </w:pPr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br/>
        <w:t xml:space="preserve">•Direct Supervision (ACGME): The supervising physician is physically </w:t>
      </w:r>
      <w:r w:rsidRPr="00CF4549">
        <w:rPr>
          <w:rFonts w:ascii="Helvetica Neue" w:eastAsia="Times New Roman" w:hAnsi="Helvetica Neue" w:cs="Times New Roman"/>
          <w:color w:val="3B4045"/>
          <w:spacing w:val="-6"/>
          <w:sz w:val="28"/>
          <w:szCs w:val="28"/>
        </w:rPr>
        <w:t xml:space="preserve">present with the resident and the patient </w:t>
      </w:r>
    </w:p>
    <w:p w:rsidR="00CF4549" w:rsidRPr="00CF4549" w:rsidRDefault="00CF4549" w:rsidP="00CF4549">
      <w:pPr>
        <w:shd w:val="clear" w:color="auto" w:fill="FFFFFF"/>
        <w:spacing w:after="0" w:line="216" w:lineRule="atLeast"/>
        <w:textAlignment w:val="center"/>
        <w:rPr>
          <w:rFonts w:ascii="Helvetica Neue" w:eastAsia="Times New Roman" w:hAnsi="Helvetica Neue" w:cs="Times New Roman"/>
          <w:color w:val="3B4045"/>
          <w:sz w:val="28"/>
          <w:szCs w:val="28"/>
        </w:rPr>
      </w:pPr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br/>
        <w:t>•</w:t>
      </w:r>
      <w:r w:rsidRPr="00CF4549">
        <w:rPr>
          <w:rFonts w:ascii="Helvetica Neue" w:eastAsia="Times New Roman" w:hAnsi="Helvetica Neue" w:cs="Times New Roman"/>
          <w:color w:val="3B4045"/>
          <w:spacing w:val="2"/>
          <w:sz w:val="28"/>
          <w:szCs w:val="28"/>
        </w:rPr>
        <w:t>Indirect Supervision</w:t>
      </w:r>
      <w:r w:rsidRPr="00CF4549">
        <w:rPr>
          <w:rFonts w:ascii="Helvetica Neue" w:eastAsia="Times New Roman" w:hAnsi="Helvetica Neue" w:cs="Times New Roman"/>
          <w:color w:val="3B4045"/>
          <w:spacing w:val="-6"/>
          <w:sz w:val="28"/>
          <w:szCs w:val="28"/>
        </w:rPr>
        <w:t xml:space="preserve">: </w:t>
      </w:r>
      <w:r w:rsidRPr="00CF4549">
        <w:rPr>
          <w:rFonts w:ascii="Helvetica Neue" w:eastAsia="Times New Roman" w:hAnsi="Helvetica Neue" w:cs="Times New Roman"/>
          <w:color w:val="3B4045"/>
          <w:sz w:val="28"/>
          <w:szCs w:val="28"/>
        </w:rPr>
        <w:br/>
      </w:r>
      <w:r w:rsidRPr="00CF4549">
        <w:rPr>
          <w:rFonts w:ascii="Helvetica Neue" w:eastAsia="Times New Roman" w:hAnsi="Helvetica Neue" w:cs="Times New Roman"/>
          <w:color w:val="3B4045"/>
          <w:spacing w:val="5"/>
          <w:sz w:val="28"/>
          <w:szCs w:val="28"/>
        </w:rPr>
        <w:t>Direct Supervision Immediately Available: </w:t>
      </w:r>
      <w:r w:rsidRPr="00CF4549">
        <w:rPr>
          <w:rFonts w:ascii="Helvetica Neue" w:eastAsia="Times New Roman" w:hAnsi="Helvetica Neue" w:cs="Times New Roman"/>
          <w:color w:val="3B4045"/>
          <w:spacing w:val="4"/>
          <w:sz w:val="28"/>
          <w:szCs w:val="28"/>
        </w:rPr>
        <w:t xml:space="preserve">Supervising physician is physically within the </w:t>
      </w:r>
      <w:r w:rsidRPr="00CF4549">
        <w:rPr>
          <w:rFonts w:ascii="Helvetica Neue" w:eastAsia="Times New Roman" w:hAnsi="Helvetica Neue" w:cs="Times New Roman"/>
          <w:color w:val="3B4045"/>
          <w:spacing w:val="-3"/>
          <w:sz w:val="28"/>
          <w:szCs w:val="28"/>
        </w:rPr>
        <w:t xml:space="preserve">hospital or other site of patient care and immediately available to provide direct </w:t>
      </w:r>
    </w:p>
    <w:p w:rsidR="00CF4549" w:rsidRPr="00CF4549" w:rsidRDefault="00CF4549" w:rsidP="00CF4549">
      <w:pPr>
        <w:shd w:val="clear" w:color="auto" w:fill="FFFFFF"/>
        <w:spacing w:after="0" w:line="216" w:lineRule="atLeast"/>
        <w:textAlignment w:val="center"/>
        <w:rPr>
          <w:rFonts w:ascii="Helvetica Neue" w:eastAsia="Times New Roman" w:hAnsi="Helvetica Neue" w:cs="Times New Roman"/>
          <w:color w:val="3B4045"/>
          <w:spacing w:val="-3"/>
          <w:sz w:val="28"/>
          <w:szCs w:val="28"/>
        </w:rPr>
      </w:pPr>
      <w:proofErr w:type="gramStart"/>
      <w:r w:rsidRPr="00CF4549">
        <w:rPr>
          <w:rFonts w:ascii="Helvetica Neue" w:eastAsia="Times New Roman" w:hAnsi="Helvetica Neue" w:cs="Times New Roman"/>
          <w:color w:val="3B4045"/>
          <w:spacing w:val="-3"/>
          <w:sz w:val="28"/>
          <w:szCs w:val="28"/>
        </w:rPr>
        <w:t>supervision</w:t>
      </w:r>
      <w:proofErr w:type="gramEnd"/>
      <w:r w:rsidRPr="00CF4549">
        <w:rPr>
          <w:rFonts w:ascii="Helvetica Neue" w:eastAsia="Times New Roman" w:hAnsi="Helvetica Neue" w:cs="Times New Roman"/>
          <w:color w:val="3B4045"/>
          <w:spacing w:val="-3"/>
          <w:sz w:val="28"/>
          <w:szCs w:val="28"/>
        </w:rPr>
        <w:t xml:space="preserve"> </w:t>
      </w:r>
    </w:p>
    <w:p w:rsidR="00CF4549" w:rsidRPr="00CF4549" w:rsidRDefault="00CF4549" w:rsidP="00CF4549">
      <w:pPr>
        <w:shd w:val="clear" w:color="auto" w:fill="FFFFFF"/>
        <w:spacing w:after="0" w:line="216" w:lineRule="atLeast"/>
        <w:textAlignment w:val="center"/>
        <w:rPr>
          <w:rFonts w:ascii="Helvetica Neue" w:eastAsia="Times New Roman" w:hAnsi="Helvetica Neue" w:cs="Times New Roman"/>
          <w:color w:val="3B4045"/>
          <w:spacing w:val="-3"/>
          <w:sz w:val="28"/>
          <w:szCs w:val="28"/>
        </w:rPr>
      </w:pPr>
      <w:r w:rsidRPr="00CF4549">
        <w:rPr>
          <w:rFonts w:ascii="Helvetica Neue" w:eastAsia="Times New Roman" w:hAnsi="Helvetica Neue" w:cs="Times New Roman"/>
          <w:color w:val="3B4045"/>
          <w:spacing w:val="-3"/>
          <w:sz w:val="28"/>
          <w:szCs w:val="28"/>
        </w:rPr>
        <w:br/>
      </w:r>
      <w:r w:rsidRPr="00CF4549">
        <w:rPr>
          <w:rFonts w:ascii="Helvetica Neue" w:eastAsia="Times New Roman" w:hAnsi="Helvetica Neue" w:cs="Times New Roman"/>
          <w:color w:val="3B4045"/>
          <w:spacing w:val="5"/>
          <w:sz w:val="28"/>
          <w:szCs w:val="28"/>
        </w:rPr>
        <w:t>Direct Supervision Available: </w:t>
      </w:r>
      <w:r w:rsidRPr="00CF4549">
        <w:rPr>
          <w:rFonts w:ascii="Helvetica Neue" w:eastAsia="Times New Roman" w:hAnsi="Helvetica Neue" w:cs="Times New Roman"/>
          <w:color w:val="3B4045"/>
          <w:spacing w:val="-3"/>
          <w:sz w:val="28"/>
          <w:szCs w:val="28"/>
        </w:rPr>
        <w:t>Supervising physician not physically present within the hospital or other site of patient care, but immediately available by means of telephonic and/or electronic modalities, and available to provide direct supervision</w:t>
      </w:r>
    </w:p>
    <w:p w:rsidR="00CF4549" w:rsidRDefault="00CF4549"/>
    <w:sectPr w:rsidR="00CF4549" w:rsidSect="00FC0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549"/>
    <w:rsid w:val="0053065A"/>
    <w:rsid w:val="005C69CC"/>
    <w:rsid w:val="006444C8"/>
    <w:rsid w:val="00AE0B19"/>
    <w:rsid w:val="00CF4549"/>
    <w:rsid w:val="00DD2604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2">
    <w:name w:val="tx2"/>
    <w:basedOn w:val="DefaultParagraphFont"/>
    <w:rsid w:val="00CF4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99645">
                                              <w:marLeft w:val="3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1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8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4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5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1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5675">
                                              <w:marLeft w:val="3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53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4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89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14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kbrite</dc:creator>
  <cp:lastModifiedBy>kbrite</cp:lastModifiedBy>
  <cp:revision>2</cp:revision>
  <cp:lastPrinted>2017-02-09T20:21:00Z</cp:lastPrinted>
  <dcterms:created xsi:type="dcterms:W3CDTF">2017-02-10T22:15:00Z</dcterms:created>
  <dcterms:modified xsi:type="dcterms:W3CDTF">2017-02-10T22:15:00Z</dcterms:modified>
</cp:coreProperties>
</file>