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-72" w:type="dxa"/>
        <w:tblLook w:val="04A0"/>
      </w:tblPr>
      <w:tblGrid>
        <w:gridCol w:w="2178"/>
        <w:gridCol w:w="5472"/>
        <w:gridCol w:w="1350"/>
        <w:gridCol w:w="1153"/>
        <w:gridCol w:w="1187"/>
      </w:tblGrid>
      <w:tr w:rsidR="00C6122D" w:rsidRPr="00530D8C" w:rsidTr="000348A7">
        <w:trPr>
          <w:trHeight w:val="525"/>
        </w:trPr>
        <w:tc>
          <w:tcPr>
            <w:tcW w:w="2178" w:type="dxa"/>
            <w:hideMark/>
          </w:tcPr>
          <w:p w:rsidR="00005DFC" w:rsidRPr="00530D8C" w:rsidRDefault="0014226A">
            <w:pPr>
              <w:rPr>
                <w:b/>
                <w:bCs/>
                <w:i/>
                <w:sz w:val="20"/>
                <w:szCs w:val="20"/>
              </w:rPr>
            </w:pPr>
            <w:r w:rsidRPr="0014226A">
              <w:rPr>
                <w:noProof/>
                <w:sz w:val="19"/>
                <w:szCs w:val="19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5.4pt;margin-top:-20.75pt;width:566.25pt;height:1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">
                  <v:textbox>
                    <w:txbxContent>
                      <w:p w:rsidR="00E24196" w:rsidRPr="00147D05" w:rsidRDefault="00E24196" w:rsidP="00147D05">
                        <w:pPr>
                          <w:rPr>
                            <w:b/>
                            <w:sz w:val="19"/>
                            <w:szCs w:val="19"/>
                          </w:rPr>
                        </w:pPr>
                        <w:r w:rsidRPr="00147D05">
                          <w:rPr>
                            <w:b/>
                            <w:sz w:val="19"/>
                            <w:szCs w:val="19"/>
                          </w:rPr>
                          <w:t>Name:</w:t>
                        </w:r>
                        <w:r w:rsidR="00147D05">
                          <w:rPr>
                            <w:b/>
                            <w:sz w:val="19"/>
                            <w:szCs w:val="19"/>
                          </w:rPr>
                          <w:tab/>
                        </w:r>
                        <w:r w:rsidR="00147D05">
                          <w:rPr>
                            <w:b/>
                            <w:sz w:val="19"/>
                            <w:szCs w:val="19"/>
                          </w:rPr>
                          <w:tab/>
                        </w:r>
                        <w:r w:rsidR="00147D05">
                          <w:rPr>
                            <w:b/>
                            <w:sz w:val="19"/>
                            <w:szCs w:val="19"/>
                          </w:rPr>
                          <w:tab/>
                        </w:r>
                        <w:r w:rsidR="00147D05">
                          <w:rPr>
                            <w:b/>
                            <w:sz w:val="19"/>
                            <w:szCs w:val="19"/>
                          </w:rPr>
                          <w:tab/>
                        </w:r>
                        <w:r w:rsidR="00147D05">
                          <w:rPr>
                            <w:b/>
                            <w:sz w:val="19"/>
                            <w:szCs w:val="19"/>
                          </w:rPr>
                          <w:tab/>
                        </w:r>
                        <w:r w:rsidR="00147D05">
                          <w:rPr>
                            <w:b/>
                            <w:sz w:val="19"/>
                            <w:szCs w:val="19"/>
                          </w:rPr>
                          <w:tab/>
                        </w:r>
                        <w:r w:rsidR="00147D05">
                          <w:rPr>
                            <w:b/>
                            <w:sz w:val="19"/>
                            <w:szCs w:val="19"/>
                          </w:rPr>
                          <w:tab/>
                        </w:r>
                        <w:r w:rsidR="00147D05">
                          <w:rPr>
                            <w:b/>
                            <w:sz w:val="19"/>
                            <w:szCs w:val="19"/>
                          </w:rPr>
                          <w:tab/>
                        </w:r>
                        <w:r w:rsidR="00147D05">
                          <w:rPr>
                            <w:b/>
                            <w:sz w:val="19"/>
                            <w:szCs w:val="19"/>
                          </w:rPr>
                          <w:tab/>
                        </w:r>
                        <w:r w:rsidR="00147D05">
                          <w:rPr>
                            <w:b/>
                            <w:sz w:val="19"/>
                            <w:szCs w:val="19"/>
                          </w:rPr>
                          <w:tab/>
                        </w:r>
                        <w:r w:rsidR="00147D05">
                          <w:rPr>
                            <w:b/>
                            <w:sz w:val="19"/>
                            <w:szCs w:val="19"/>
                          </w:rPr>
                          <w:tab/>
                        </w:r>
                        <w:r w:rsidR="00A34A94" w:rsidRPr="00147D05">
                          <w:rPr>
                            <w:b/>
                            <w:sz w:val="19"/>
                            <w:szCs w:val="19"/>
                          </w:rPr>
                          <w:t xml:space="preserve">DOB: </w:t>
                        </w:r>
                      </w:p>
                    </w:txbxContent>
                  </v:textbox>
                </v:shape>
              </w:pict>
            </w:r>
            <w:r w:rsidR="00005DFC" w:rsidRPr="00530D8C">
              <w:rPr>
                <w:b/>
                <w:bCs/>
                <w:i/>
                <w:sz w:val="20"/>
                <w:szCs w:val="20"/>
              </w:rPr>
              <w:t>Health Maintenance Recommendations</w:t>
            </w:r>
          </w:p>
        </w:tc>
        <w:tc>
          <w:tcPr>
            <w:tcW w:w="5472" w:type="dxa"/>
            <w:hideMark/>
          </w:tcPr>
          <w:p w:rsidR="00005DFC" w:rsidRPr="00530D8C" w:rsidRDefault="00005DFC">
            <w:pPr>
              <w:rPr>
                <w:b/>
                <w:bCs/>
                <w:i/>
                <w:sz w:val="20"/>
                <w:szCs w:val="20"/>
              </w:rPr>
            </w:pPr>
            <w:r w:rsidRPr="00530D8C">
              <w:rPr>
                <w:b/>
                <w:bCs/>
                <w:i/>
                <w:sz w:val="20"/>
                <w:szCs w:val="20"/>
              </w:rPr>
              <w:t>Limitations/how often</w:t>
            </w:r>
          </w:p>
        </w:tc>
        <w:tc>
          <w:tcPr>
            <w:tcW w:w="1350" w:type="dxa"/>
            <w:hideMark/>
          </w:tcPr>
          <w:p w:rsidR="00005DFC" w:rsidRPr="00530D8C" w:rsidRDefault="00005DFC">
            <w:pPr>
              <w:rPr>
                <w:b/>
                <w:bCs/>
                <w:i/>
                <w:sz w:val="20"/>
                <w:szCs w:val="20"/>
              </w:rPr>
            </w:pPr>
            <w:r w:rsidRPr="00530D8C">
              <w:rPr>
                <w:b/>
                <w:bCs/>
                <w:i/>
                <w:sz w:val="20"/>
                <w:szCs w:val="20"/>
              </w:rPr>
              <w:t>Date you had it done last?</w:t>
            </w:r>
          </w:p>
        </w:tc>
        <w:tc>
          <w:tcPr>
            <w:tcW w:w="1153" w:type="dxa"/>
            <w:hideMark/>
          </w:tcPr>
          <w:p w:rsidR="00005DFC" w:rsidRPr="00530D8C" w:rsidRDefault="00005DFC">
            <w:pPr>
              <w:rPr>
                <w:b/>
                <w:bCs/>
                <w:i/>
                <w:sz w:val="20"/>
                <w:szCs w:val="20"/>
              </w:rPr>
            </w:pPr>
            <w:r w:rsidRPr="00530D8C">
              <w:rPr>
                <w:b/>
                <w:bCs/>
                <w:i/>
                <w:sz w:val="20"/>
                <w:szCs w:val="20"/>
              </w:rPr>
              <w:t xml:space="preserve"> When </w:t>
            </w:r>
            <w:r w:rsidR="00530D8C" w:rsidRPr="00530D8C">
              <w:rPr>
                <w:b/>
                <w:bCs/>
                <w:i/>
                <w:sz w:val="20"/>
                <w:szCs w:val="20"/>
              </w:rPr>
              <w:t xml:space="preserve">is test </w:t>
            </w:r>
            <w:r w:rsidRPr="00530D8C">
              <w:rPr>
                <w:b/>
                <w:bCs/>
                <w:i/>
                <w:sz w:val="20"/>
                <w:szCs w:val="20"/>
              </w:rPr>
              <w:t>due?</w:t>
            </w:r>
          </w:p>
        </w:tc>
        <w:tc>
          <w:tcPr>
            <w:tcW w:w="1187" w:type="dxa"/>
            <w:hideMark/>
          </w:tcPr>
          <w:p w:rsidR="00005DFC" w:rsidRPr="00530D8C" w:rsidRDefault="00494802" w:rsidP="00494802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Want us to schedule</w:t>
            </w:r>
            <w:r w:rsidR="00005DFC" w:rsidRPr="00530D8C">
              <w:rPr>
                <w:b/>
                <w:bCs/>
                <w:i/>
                <w:sz w:val="20"/>
                <w:szCs w:val="20"/>
              </w:rPr>
              <w:t>?</w:t>
            </w:r>
          </w:p>
        </w:tc>
      </w:tr>
      <w:tr w:rsidR="00C6122D" w:rsidRPr="007B0B8A" w:rsidTr="000348A7">
        <w:trPr>
          <w:trHeight w:val="845"/>
        </w:trPr>
        <w:tc>
          <w:tcPr>
            <w:tcW w:w="2178" w:type="dxa"/>
            <w:hideMark/>
          </w:tcPr>
          <w:p w:rsidR="00530D8C" w:rsidRPr="001272CA" w:rsidRDefault="00530D8C" w:rsidP="00530D8C">
            <w:pPr>
              <w:rPr>
                <w:sz w:val="19"/>
                <w:szCs w:val="19"/>
              </w:rPr>
            </w:pPr>
            <w:r w:rsidRPr="001272CA">
              <w:rPr>
                <w:b/>
                <w:bCs/>
                <w:sz w:val="19"/>
                <w:szCs w:val="19"/>
              </w:rPr>
              <w:t>Vaccines:</w:t>
            </w:r>
          </w:p>
          <w:p w:rsidR="00530D8C" w:rsidRPr="001272CA" w:rsidRDefault="00530D8C" w:rsidP="000348A7">
            <w:pPr>
              <w:ind w:left="252" w:hanging="90"/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-</w:t>
            </w:r>
            <w:r w:rsidR="00005DFC" w:rsidRPr="001272CA">
              <w:rPr>
                <w:sz w:val="19"/>
                <w:szCs w:val="19"/>
              </w:rPr>
              <w:t>Pneumococcal (pneumonia)</w:t>
            </w:r>
          </w:p>
          <w:p w:rsidR="00530D8C" w:rsidRPr="001272CA" w:rsidRDefault="00530D8C" w:rsidP="000348A7">
            <w:pPr>
              <w:ind w:left="252"/>
              <w:rPr>
                <w:sz w:val="19"/>
                <w:szCs w:val="19"/>
              </w:rPr>
            </w:pPr>
          </w:p>
          <w:p w:rsidR="00530D8C" w:rsidRPr="001272CA" w:rsidRDefault="00530D8C" w:rsidP="000348A7">
            <w:pPr>
              <w:ind w:left="162"/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 xml:space="preserve">-Influenza </w:t>
            </w:r>
          </w:p>
          <w:p w:rsidR="00005DFC" w:rsidRPr="001272CA" w:rsidRDefault="00530D8C" w:rsidP="000348A7">
            <w:pPr>
              <w:ind w:left="162"/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-Hepatitis B</w:t>
            </w:r>
          </w:p>
        </w:tc>
        <w:tc>
          <w:tcPr>
            <w:tcW w:w="5472" w:type="dxa"/>
            <w:hideMark/>
          </w:tcPr>
          <w:p w:rsidR="00530D8C" w:rsidRPr="001272CA" w:rsidRDefault="00530D8C">
            <w:pPr>
              <w:rPr>
                <w:sz w:val="19"/>
                <w:szCs w:val="19"/>
              </w:rPr>
            </w:pPr>
          </w:p>
          <w:p w:rsidR="00005DFC" w:rsidRPr="001272CA" w:rsidRDefault="00530D8C" w:rsidP="00494802">
            <w:pPr>
              <w:ind w:left="72" w:hanging="72"/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-</w:t>
            </w:r>
            <w:r w:rsidR="00005DFC" w:rsidRPr="001272CA">
              <w:rPr>
                <w:sz w:val="19"/>
                <w:szCs w:val="19"/>
              </w:rPr>
              <w:t xml:space="preserve">Two different pneumonia vaccines should be given a year apart. First one is PCV13, and a year later you should get PPSV23. </w:t>
            </w:r>
          </w:p>
          <w:p w:rsidR="001272CA" w:rsidRDefault="001272CA" w:rsidP="00530D8C">
            <w:pPr>
              <w:ind w:left="26"/>
              <w:rPr>
                <w:sz w:val="19"/>
                <w:szCs w:val="19"/>
              </w:rPr>
            </w:pPr>
          </w:p>
          <w:p w:rsidR="00530D8C" w:rsidRPr="001272CA" w:rsidRDefault="00530D8C" w:rsidP="00530D8C">
            <w:pPr>
              <w:ind w:left="26"/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 xml:space="preserve">-Yearly </w:t>
            </w:r>
          </w:p>
          <w:p w:rsidR="00530D8C" w:rsidRPr="001272CA" w:rsidRDefault="00E1024B" w:rsidP="008B604B">
            <w:pPr>
              <w:ind w:left="72" w:hanging="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-For people with risk factors </w:t>
            </w:r>
            <w:r w:rsidR="00530D8C" w:rsidRPr="001272CA">
              <w:rPr>
                <w:sz w:val="19"/>
                <w:szCs w:val="19"/>
              </w:rPr>
              <w:t>: End stage renal disease</w:t>
            </w:r>
            <w:r w:rsidR="008B604B">
              <w:rPr>
                <w:sz w:val="19"/>
                <w:szCs w:val="19"/>
              </w:rPr>
              <w:t xml:space="preserve">, </w:t>
            </w:r>
            <w:r w:rsidR="00494802" w:rsidRPr="001272CA">
              <w:rPr>
                <w:sz w:val="19"/>
                <w:szCs w:val="19"/>
              </w:rPr>
              <w:t>D</w:t>
            </w:r>
            <w:r w:rsidR="00530D8C" w:rsidRPr="001272CA">
              <w:rPr>
                <w:sz w:val="19"/>
                <w:szCs w:val="19"/>
              </w:rPr>
              <w:t>iabetes type 2</w:t>
            </w:r>
            <w:r w:rsidR="008B604B">
              <w:rPr>
                <w:sz w:val="19"/>
                <w:szCs w:val="19"/>
              </w:rPr>
              <w:t xml:space="preserve">, </w:t>
            </w:r>
            <w:r w:rsidR="00A40318">
              <w:rPr>
                <w:sz w:val="19"/>
                <w:szCs w:val="19"/>
              </w:rPr>
              <w:t>Men who have sex with men</w:t>
            </w:r>
            <w:r w:rsidR="008B604B">
              <w:rPr>
                <w:sz w:val="19"/>
                <w:szCs w:val="19"/>
              </w:rPr>
              <w:t xml:space="preserve">, </w:t>
            </w:r>
            <w:r w:rsidR="00494802" w:rsidRPr="001272CA">
              <w:rPr>
                <w:sz w:val="19"/>
                <w:szCs w:val="19"/>
              </w:rPr>
              <w:t>A</w:t>
            </w:r>
            <w:r w:rsidR="00530D8C" w:rsidRPr="001272CA">
              <w:rPr>
                <w:sz w:val="19"/>
                <w:szCs w:val="19"/>
              </w:rPr>
              <w:t>bus</w:t>
            </w:r>
            <w:r w:rsidR="008B604B">
              <w:rPr>
                <w:sz w:val="19"/>
                <w:szCs w:val="19"/>
              </w:rPr>
              <w:t xml:space="preserve">ers of illicit injectable drugs, </w:t>
            </w:r>
            <w:r w:rsidR="00494802" w:rsidRPr="001272CA">
              <w:rPr>
                <w:sz w:val="19"/>
                <w:szCs w:val="19"/>
              </w:rPr>
              <w:t>P</w:t>
            </w:r>
            <w:r w:rsidR="00530D8C" w:rsidRPr="001272CA">
              <w:rPr>
                <w:sz w:val="19"/>
                <w:szCs w:val="19"/>
              </w:rPr>
              <w:t>atients with hemophilia who received Factor VIII or IX concentrates</w:t>
            </w:r>
            <w:r w:rsidR="008B604B">
              <w:rPr>
                <w:sz w:val="19"/>
                <w:szCs w:val="19"/>
              </w:rPr>
              <w:t xml:space="preserve">, </w:t>
            </w:r>
            <w:r w:rsidR="00494802" w:rsidRPr="001272CA">
              <w:rPr>
                <w:sz w:val="19"/>
                <w:szCs w:val="19"/>
              </w:rPr>
              <w:t>C</w:t>
            </w:r>
            <w:r w:rsidR="00530D8C" w:rsidRPr="001272CA">
              <w:rPr>
                <w:sz w:val="19"/>
                <w:szCs w:val="19"/>
              </w:rPr>
              <w:t xml:space="preserve">lients of institutions for the mentally </w:t>
            </w:r>
            <w:r w:rsidR="00A40318">
              <w:rPr>
                <w:sz w:val="19"/>
                <w:szCs w:val="19"/>
              </w:rPr>
              <w:t>disabled</w:t>
            </w:r>
            <w:r w:rsidR="008B604B">
              <w:rPr>
                <w:sz w:val="19"/>
                <w:szCs w:val="19"/>
              </w:rPr>
              <w:t xml:space="preserve">, </w:t>
            </w:r>
            <w:r w:rsidR="00494802" w:rsidRPr="001272CA">
              <w:rPr>
                <w:sz w:val="19"/>
                <w:szCs w:val="19"/>
              </w:rPr>
              <w:t>P</w:t>
            </w:r>
            <w:r w:rsidR="00530D8C" w:rsidRPr="001272CA">
              <w:rPr>
                <w:sz w:val="19"/>
                <w:szCs w:val="19"/>
              </w:rPr>
              <w:t>ersons who live in the same house as</w:t>
            </w:r>
            <w:r w:rsidR="007B0B8A" w:rsidRPr="001272CA">
              <w:rPr>
                <w:sz w:val="19"/>
                <w:szCs w:val="19"/>
              </w:rPr>
              <w:t xml:space="preserve"> a carrier of Hepatitis B virus</w:t>
            </w:r>
          </w:p>
        </w:tc>
        <w:tc>
          <w:tcPr>
            <w:tcW w:w="1350" w:type="dxa"/>
            <w:hideMark/>
          </w:tcPr>
          <w:p w:rsidR="00005DFC" w:rsidRPr="007B0B8A" w:rsidRDefault="00005DFC">
            <w:pPr>
              <w:rPr>
                <w:sz w:val="20"/>
                <w:szCs w:val="20"/>
              </w:rPr>
            </w:pPr>
            <w:r w:rsidRPr="007B0B8A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hideMark/>
          </w:tcPr>
          <w:p w:rsidR="00005DFC" w:rsidRPr="007B0B8A" w:rsidRDefault="00005DFC">
            <w:pPr>
              <w:rPr>
                <w:sz w:val="20"/>
                <w:szCs w:val="20"/>
              </w:rPr>
            </w:pPr>
            <w:r w:rsidRPr="007B0B8A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hideMark/>
          </w:tcPr>
          <w:p w:rsidR="00005DFC" w:rsidRPr="007B0B8A" w:rsidRDefault="00005DFC">
            <w:pPr>
              <w:rPr>
                <w:sz w:val="20"/>
                <w:szCs w:val="20"/>
              </w:rPr>
            </w:pPr>
            <w:r w:rsidRPr="007B0B8A">
              <w:rPr>
                <w:sz w:val="20"/>
                <w:szCs w:val="20"/>
              </w:rPr>
              <w:t> </w:t>
            </w:r>
          </w:p>
        </w:tc>
      </w:tr>
      <w:tr w:rsidR="00C6122D" w:rsidRPr="001272CA" w:rsidTr="000348A7">
        <w:trPr>
          <w:trHeight w:val="300"/>
        </w:trPr>
        <w:tc>
          <w:tcPr>
            <w:tcW w:w="2178" w:type="dxa"/>
            <w:hideMark/>
          </w:tcPr>
          <w:p w:rsidR="00005DFC" w:rsidRPr="001272CA" w:rsidRDefault="00005DFC">
            <w:pPr>
              <w:rPr>
                <w:b/>
                <w:bCs/>
                <w:sz w:val="19"/>
                <w:szCs w:val="19"/>
              </w:rPr>
            </w:pPr>
            <w:r w:rsidRPr="001272CA">
              <w:rPr>
                <w:b/>
                <w:bCs/>
                <w:sz w:val="19"/>
                <w:szCs w:val="19"/>
              </w:rPr>
              <w:t>Mammogram</w:t>
            </w:r>
          </w:p>
        </w:tc>
        <w:tc>
          <w:tcPr>
            <w:tcW w:w="5472" w:type="dxa"/>
            <w:hideMark/>
          </w:tcPr>
          <w:p w:rsidR="00005DFC" w:rsidRPr="001272CA" w:rsidRDefault="00E1024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Recommended </w:t>
            </w:r>
            <w:r w:rsidR="00005DFC" w:rsidRPr="001272CA">
              <w:rPr>
                <w:sz w:val="19"/>
                <w:szCs w:val="19"/>
              </w:rPr>
              <w:t>very 2 years</w:t>
            </w:r>
            <w:r>
              <w:rPr>
                <w:sz w:val="19"/>
                <w:szCs w:val="19"/>
              </w:rPr>
              <w:t xml:space="preserve"> (covered annually for women 40+)</w:t>
            </w:r>
          </w:p>
        </w:tc>
        <w:tc>
          <w:tcPr>
            <w:tcW w:w="1350" w:type="dxa"/>
            <w:hideMark/>
          </w:tcPr>
          <w:p w:rsidR="00005DFC" w:rsidRPr="001272CA" w:rsidRDefault="00005DFC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 </w:t>
            </w:r>
          </w:p>
        </w:tc>
        <w:tc>
          <w:tcPr>
            <w:tcW w:w="1153" w:type="dxa"/>
            <w:hideMark/>
          </w:tcPr>
          <w:p w:rsidR="00005DFC" w:rsidRPr="001272CA" w:rsidRDefault="00005DFC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 </w:t>
            </w:r>
          </w:p>
        </w:tc>
        <w:tc>
          <w:tcPr>
            <w:tcW w:w="1187" w:type="dxa"/>
            <w:hideMark/>
          </w:tcPr>
          <w:p w:rsidR="00005DFC" w:rsidRPr="001272CA" w:rsidRDefault="00005DFC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 </w:t>
            </w:r>
          </w:p>
        </w:tc>
      </w:tr>
      <w:tr w:rsidR="00C6122D" w:rsidRPr="001272CA" w:rsidTr="0034045A">
        <w:trPr>
          <w:trHeight w:val="413"/>
        </w:trPr>
        <w:tc>
          <w:tcPr>
            <w:tcW w:w="2178" w:type="dxa"/>
            <w:hideMark/>
          </w:tcPr>
          <w:p w:rsidR="00005DFC" w:rsidRPr="001272CA" w:rsidRDefault="00005DFC">
            <w:pPr>
              <w:rPr>
                <w:b/>
                <w:bCs/>
                <w:sz w:val="19"/>
                <w:szCs w:val="19"/>
              </w:rPr>
            </w:pPr>
            <w:r w:rsidRPr="001272CA">
              <w:rPr>
                <w:b/>
                <w:bCs/>
                <w:sz w:val="19"/>
                <w:szCs w:val="19"/>
              </w:rPr>
              <w:t>Pap and Pelvic exam</w:t>
            </w:r>
          </w:p>
        </w:tc>
        <w:tc>
          <w:tcPr>
            <w:tcW w:w="5472" w:type="dxa"/>
            <w:hideMark/>
          </w:tcPr>
          <w:p w:rsidR="0058536E" w:rsidRPr="001272CA" w:rsidRDefault="0058536E" w:rsidP="0058536E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-</w:t>
            </w:r>
            <w:r w:rsidR="00005DFC" w:rsidRPr="001272CA">
              <w:rPr>
                <w:sz w:val="19"/>
                <w:szCs w:val="19"/>
              </w:rPr>
              <w:t xml:space="preserve">Pap every 3-5 years </w:t>
            </w:r>
            <w:r w:rsidR="0076299A">
              <w:rPr>
                <w:sz w:val="19"/>
                <w:szCs w:val="19"/>
              </w:rPr>
              <w:t>(covered annually if high risk)</w:t>
            </w:r>
          </w:p>
          <w:p w:rsidR="00005DFC" w:rsidRPr="001272CA" w:rsidRDefault="0058536E" w:rsidP="0058536E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-</w:t>
            </w:r>
            <w:r w:rsidR="00005DFC" w:rsidRPr="001272CA">
              <w:rPr>
                <w:sz w:val="19"/>
                <w:szCs w:val="19"/>
              </w:rPr>
              <w:t>Pelvic exam annually</w:t>
            </w:r>
          </w:p>
        </w:tc>
        <w:tc>
          <w:tcPr>
            <w:tcW w:w="1350" w:type="dxa"/>
            <w:hideMark/>
          </w:tcPr>
          <w:p w:rsidR="00005DFC" w:rsidRPr="001272CA" w:rsidRDefault="00005DFC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 </w:t>
            </w:r>
          </w:p>
        </w:tc>
        <w:tc>
          <w:tcPr>
            <w:tcW w:w="1153" w:type="dxa"/>
            <w:hideMark/>
          </w:tcPr>
          <w:p w:rsidR="00005DFC" w:rsidRPr="001272CA" w:rsidRDefault="00005DFC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 </w:t>
            </w:r>
          </w:p>
        </w:tc>
        <w:tc>
          <w:tcPr>
            <w:tcW w:w="1187" w:type="dxa"/>
            <w:hideMark/>
          </w:tcPr>
          <w:p w:rsidR="00005DFC" w:rsidRPr="001272CA" w:rsidRDefault="00005DFC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 </w:t>
            </w:r>
          </w:p>
        </w:tc>
      </w:tr>
      <w:tr w:rsidR="00C6122D" w:rsidRPr="001272CA" w:rsidTr="0034045A">
        <w:trPr>
          <w:trHeight w:val="422"/>
        </w:trPr>
        <w:tc>
          <w:tcPr>
            <w:tcW w:w="2178" w:type="dxa"/>
            <w:hideMark/>
          </w:tcPr>
          <w:p w:rsidR="00005DFC" w:rsidRPr="001272CA" w:rsidRDefault="00005DFC">
            <w:pPr>
              <w:rPr>
                <w:b/>
                <w:bCs/>
                <w:sz w:val="19"/>
                <w:szCs w:val="19"/>
              </w:rPr>
            </w:pPr>
            <w:r w:rsidRPr="001272CA">
              <w:rPr>
                <w:b/>
                <w:bCs/>
                <w:sz w:val="19"/>
                <w:szCs w:val="19"/>
              </w:rPr>
              <w:t>Prostate Cancer Screening</w:t>
            </w:r>
          </w:p>
        </w:tc>
        <w:tc>
          <w:tcPr>
            <w:tcW w:w="5472" w:type="dxa"/>
            <w:hideMark/>
          </w:tcPr>
          <w:p w:rsidR="00005DFC" w:rsidRPr="001272CA" w:rsidRDefault="00005DFC" w:rsidP="008B604B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 xml:space="preserve">Discussion of risks and benefits needed before ordering lab test (PSA). </w:t>
            </w:r>
          </w:p>
        </w:tc>
        <w:tc>
          <w:tcPr>
            <w:tcW w:w="1350" w:type="dxa"/>
            <w:hideMark/>
          </w:tcPr>
          <w:p w:rsidR="00005DFC" w:rsidRPr="001272CA" w:rsidRDefault="00005DFC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 </w:t>
            </w:r>
          </w:p>
        </w:tc>
        <w:tc>
          <w:tcPr>
            <w:tcW w:w="1153" w:type="dxa"/>
            <w:hideMark/>
          </w:tcPr>
          <w:p w:rsidR="00005DFC" w:rsidRPr="001272CA" w:rsidRDefault="00005DFC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 </w:t>
            </w:r>
          </w:p>
        </w:tc>
        <w:tc>
          <w:tcPr>
            <w:tcW w:w="1187" w:type="dxa"/>
            <w:hideMark/>
          </w:tcPr>
          <w:p w:rsidR="00005DFC" w:rsidRPr="001272CA" w:rsidRDefault="00005DFC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 </w:t>
            </w:r>
          </w:p>
        </w:tc>
      </w:tr>
      <w:tr w:rsidR="00C6122D" w:rsidRPr="001272CA" w:rsidTr="000348A7">
        <w:trPr>
          <w:trHeight w:val="525"/>
        </w:trPr>
        <w:tc>
          <w:tcPr>
            <w:tcW w:w="2178" w:type="dxa"/>
            <w:hideMark/>
          </w:tcPr>
          <w:p w:rsidR="00005DFC" w:rsidRPr="001272CA" w:rsidRDefault="00005DFC">
            <w:pPr>
              <w:rPr>
                <w:b/>
                <w:bCs/>
                <w:sz w:val="19"/>
                <w:szCs w:val="19"/>
              </w:rPr>
            </w:pPr>
            <w:r w:rsidRPr="001272CA">
              <w:rPr>
                <w:b/>
                <w:bCs/>
                <w:sz w:val="19"/>
                <w:szCs w:val="19"/>
              </w:rPr>
              <w:t>Colorectal Cancer Screening</w:t>
            </w:r>
            <w:r w:rsidR="00530D8C" w:rsidRPr="001272CA">
              <w:rPr>
                <w:b/>
                <w:bCs/>
                <w:sz w:val="19"/>
                <w:szCs w:val="19"/>
              </w:rPr>
              <w:t>:</w:t>
            </w:r>
          </w:p>
          <w:p w:rsidR="007B0B8A" w:rsidRPr="001272CA" w:rsidRDefault="000348A7" w:rsidP="000348A7">
            <w:pPr>
              <w:ind w:left="252" w:hanging="90"/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-</w:t>
            </w:r>
            <w:r w:rsidR="007B0B8A" w:rsidRPr="001272CA">
              <w:rPr>
                <w:sz w:val="19"/>
                <w:szCs w:val="19"/>
              </w:rPr>
              <w:t xml:space="preserve">Fecal Immuno-chemical test (FIT) </w:t>
            </w:r>
          </w:p>
          <w:p w:rsidR="000348A7" w:rsidRPr="001272CA" w:rsidRDefault="000348A7" w:rsidP="000348A7">
            <w:pPr>
              <w:ind w:left="252" w:hanging="90"/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-</w:t>
            </w:r>
            <w:r w:rsidR="007B0B8A" w:rsidRPr="001272CA">
              <w:rPr>
                <w:sz w:val="19"/>
                <w:szCs w:val="19"/>
              </w:rPr>
              <w:t xml:space="preserve">Flexible Sigmoidoscopy </w:t>
            </w:r>
          </w:p>
          <w:p w:rsidR="007B0B8A" w:rsidRPr="001272CA" w:rsidRDefault="000348A7" w:rsidP="000348A7">
            <w:pPr>
              <w:ind w:left="252" w:hanging="90"/>
              <w:rPr>
                <w:b/>
                <w:bCs/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-</w:t>
            </w:r>
            <w:r w:rsidR="007B0B8A" w:rsidRPr="001272CA">
              <w:rPr>
                <w:sz w:val="19"/>
                <w:szCs w:val="19"/>
              </w:rPr>
              <w:t>Screening Colonoscopy</w:t>
            </w:r>
          </w:p>
        </w:tc>
        <w:tc>
          <w:tcPr>
            <w:tcW w:w="5472" w:type="dxa"/>
            <w:hideMark/>
          </w:tcPr>
          <w:p w:rsidR="000348A7" w:rsidRPr="001272CA" w:rsidRDefault="00005DFC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Exempt from Part B deductible</w:t>
            </w:r>
          </w:p>
          <w:p w:rsidR="000348A7" w:rsidRPr="001272CA" w:rsidRDefault="000348A7">
            <w:pPr>
              <w:rPr>
                <w:sz w:val="19"/>
                <w:szCs w:val="19"/>
              </w:rPr>
            </w:pPr>
          </w:p>
          <w:p w:rsidR="000348A7" w:rsidRPr="001272CA" w:rsidRDefault="000348A7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 xml:space="preserve">-Yearly </w:t>
            </w:r>
          </w:p>
          <w:p w:rsidR="000348A7" w:rsidRPr="001272CA" w:rsidRDefault="000348A7">
            <w:pPr>
              <w:rPr>
                <w:sz w:val="19"/>
                <w:szCs w:val="19"/>
              </w:rPr>
            </w:pPr>
          </w:p>
          <w:p w:rsidR="000348A7" w:rsidRPr="001272CA" w:rsidRDefault="000348A7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 xml:space="preserve">-Every 4 years </w:t>
            </w:r>
          </w:p>
          <w:p w:rsidR="000348A7" w:rsidRPr="001272CA" w:rsidRDefault="000348A7">
            <w:pPr>
              <w:rPr>
                <w:sz w:val="19"/>
                <w:szCs w:val="19"/>
              </w:rPr>
            </w:pPr>
          </w:p>
          <w:p w:rsidR="00005DFC" w:rsidRPr="001272CA" w:rsidRDefault="000348A7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-Every 10 years</w:t>
            </w:r>
          </w:p>
        </w:tc>
        <w:tc>
          <w:tcPr>
            <w:tcW w:w="1350" w:type="dxa"/>
            <w:hideMark/>
          </w:tcPr>
          <w:p w:rsidR="00005DFC" w:rsidRPr="001272CA" w:rsidRDefault="00005DFC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 </w:t>
            </w:r>
          </w:p>
        </w:tc>
        <w:tc>
          <w:tcPr>
            <w:tcW w:w="1153" w:type="dxa"/>
            <w:hideMark/>
          </w:tcPr>
          <w:p w:rsidR="00005DFC" w:rsidRPr="001272CA" w:rsidRDefault="00005DFC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 </w:t>
            </w:r>
          </w:p>
        </w:tc>
        <w:tc>
          <w:tcPr>
            <w:tcW w:w="1187" w:type="dxa"/>
            <w:hideMark/>
          </w:tcPr>
          <w:p w:rsidR="00005DFC" w:rsidRPr="001272CA" w:rsidRDefault="00005DFC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 </w:t>
            </w:r>
          </w:p>
        </w:tc>
      </w:tr>
      <w:tr w:rsidR="00C6122D" w:rsidRPr="001272CA" w:rsidTr="0034045A">
        <w:trPr>
          <w:trHeight w:val="485"/>
        </w:trPr>
        <w:tc>
          <w:tcPr>
            <w:tcW w:w="2178" w:type="dxa"/>
            <w:hideMark/>
          </w:tcPr>
          <w:p w:rsidR="00005DFC" w:rsidRPr="001272CA" w:rsidRDefault="00005DFC">
            <w:pPr>
              <w:rPr>
                <w:b/>
                <w:bCs/>
                <w:sz w:val="19"/>
                <w:szCs w:val="19"/>
              </w:rPr>
            </w:pPr>
            <w:r w:rsidRPr="001272CA">
              <w:rPr>
                <w:b/>
                <w:bCs/>
                <w:sz w:val="19"/>
                <w:szCs w:val="19"/>
              </w:rPr>
              <w:t>Diabetes self-management training</w:t>
            </w:r>
          </w:p>
        </w:tc>
        <w:tc>
          <w:tcPr>
            <w:tcW w:w="5472" w:type="dxa"/>
            <w:hideMark/>
          </w:tcPr>
          <w:p w:rsidR="00005DFC" w:rsidRPr="001272CA" w:rsidRDefault="00005DFC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Requires referral by treating physician for patient with diabetes or renal disease.</w:t>
            </w:r>
          </w:p>
        </w:tc>
        <w:tc>
          <w:tcPr>
            <w:tcW w:w="1350" w:type="dxa"/>
            <w:hideMark/>
          </w:tcPr>
          <w:p w:rsidR="00005DFC" w:rsidRPr="001272CA" w:rsidRDefault="00005DFC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 </w:t>
            </w:r>
          </w:p>
        </w:tc>
        <w:tc>
          <w:tcPr>
            <w:tcW w:w="1153" w:type="dxa"/>
            <w:hideMark/>
          </w:tcPr>
          <w:p w:rsidR="00005DFC" w:rsidRPr="001272CA" w:rsidRDefault="00005DFC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 </w:t>
            </w:r>
          </w:p>
        </w:tc>
        <w:tc>
          <w:tcPr>
            <w:tcW w:w="1187" w:type="dxa"/>
            <w:hideMark/>
          </w:tcPr>
          <w:p w:rsidR="00005DFC" w:rsidRPr="001272CA" w:rsidRDefault="00005DFC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 </w:t>
            </w:r>
          </w:p>
        </w:tc>
      </w:tr>
      <w:tr w:rsidR="00C6122D" w:rsidRPr="001272CA" w:rsidTr="0034045A">
        <w:trPr>
          <w:trHeight w:val="467"/>
        </w:trPr>
        <w:tc>
          <w:tcPr>
            <w:tcW w:w="2178" w:type="dxa"/>
            <w:hideMark/>
          </w:tcPr>
          <w:p w:rsidR="00005DFC" w:rsidRPr="001272CA" w:rsidRDefault="00005DFC">
            <w:pPr>
              <w:rPr>
                <w:b/>
                <w:bCs/>
                <w:sz w:val="19"/>
                <w:szCs w:val="19"/>
              </w:rPr>
            </w:pPr>
            <w:r w:rsidRPr="001272CA">
              <w:rPr>
                <w:b/>
                <w:bCs/>
                <w:sz w:val="19"/>
                <w:szCs w:val="19"/>
              </w:rPr>
              <w:t>Bone mass measurements</w:t>
            </w:r>
          </w:p>
        </w:tc>
        <w:tc>
          <w:tcPr>
            <w:tcW w:w="5472" w:type="dxa"/>
            <w:hideMark/>
          </w:tcPr>
          <w:p w:rsidR="00005DFC" w:rsidRPr="001272CA" w:rsidRDefault="00005DFC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 xml:space="preserve">Requires diagnosis related to osteoporosis or estrogen deficiency (menopause). Screening once over age 65. </w:t>
            </w:r>
          </w:p>
        </w:tc>
        <w:tc>
          <w:tcPr>
            <w:tcW w:w="1350" w:type="dxa"/>
            <w:hideMark/>
          </w:tcPr>
          <w:p w:rsidR="00005DFC" w:rsidRPr="001272CA" w:rsidRDefault="00005DFC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 </w:t>
            </w:r>
          </w:p>
        </w:tc>
        <w:tc>
          <w:tcPr>
            <w:tcW w:w="1153" w:type="dxa"/>
            <w:hideMark/>
          </w:tcPr>
          <w:p w:rsidR="00005DFC" w:rsidRPr="001272CA" w:rsidRDefault="00005DFC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 </w:t>
            </w:r>
          </w:p>
        </w:tc>
        <w:tc>
          <w:tcPr>
            <w:tcW w:w="1187" w:type="dxa"/>
            <w:hideMark/>
          </w:tcPr>
          <w:p w:rsidR="00005DFC" w:rsidRPr="001272CA" w:rsidRDefault="00005DFC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 </w:t>
            </w:r>
          </w:p>
        </w:tc>
      </w:tr>
      <w:tr w:rsidR="00C6122D" w:rsidRPr="001272CA" w:rsidTr="000348A7">
        <w:trPr>
          <w:trHeight w:val="300"/>
        </w:trPr>
        <w:tc>
          <w:tcPr>
            <w:tcW w:w="2178" w:type="dxa"/>
            <w:hideMark/>
          </w:tcPr>
          <w:p w:rsidR="00005DFC" w:rsidRPr="001272CA" w:rsidRDefault="00005DFC">
            <w:pPr>
              <w:rPr>
                <w:b/>
                <w:bCs/>
                <w:sz w:val="19"/>
                <w:szCs w:val="19"/>
              </w:rPr>
            </w:pPr>
            <w:r w:rsidRPr="001272CA">
              <w:rPr>
                <w:b/>
                <w:bCs/>
                <w:sz w:val="19"/>
                <w:szCs w:val="19"/>
              </w:rPr>
              <w:t>Eye exam</w:t>
            </w:r>
          </w:p>
        </w:tc>
        <w:tc>
          <w:tcPr>
            <w:tcW w:w="5472" w:type="dxa"/>
            <w:hideMark/>
          </w:tcPr>
          <w:p w:rsidR="00005DFC" w:rsidRPr="001272CA" w:rsidRDefault="00005DFC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Every 2 years</w:t>
            </w:r>
          </w:p>
        </w:tc>
        <w:tc>
          <w:tcPr>
            <w:tcW w:w="1350" w:type="dxa"/>
            <w:hideMark/>
          </w:tcPr>
          <w:p w:rsidR="00005DFC" w:rsidRPr="001272CA" w:rsidRDefault="00005DFC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 </w:t>
            </w:r>
          </w:p>
        </w:tc>
        <w:tc>
          <w:tcPr>
            <w:tcW w:w="1153" w:type="dxa"/>
            <w:hideMark/>
          </w:tcPr>
          <w:p w:rsidR="00005DFC" w:rsidRPr="001272CA" w:rsidRDefault="00005DFC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 </w:t>
            </w:r>
          </w:p>
        </w:tc>
        <w:tc>
          <w:tcPr>
            <w:tcW w:w="1187" w:type="dxa"/>
            <w:hideMark/>
          </w:tcPr>
          <w:p w:rsidR="00005DFC" w:rsidRPr="001272CA" w:rsidRDefault="00005DFC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 </w:t>
            </w:r>
          </w:p>
        </w:tc>
      </w:tr>
      <w:tr w:rsidR="00C6122D" w:rsidRPr="001272CA" w:rsidTr="001272CA">
        <w:trPr>
          <w:trHeight w:val="719"/>
        </w:trPr>
        <w:tc>
          <w:tcPr>
            <w:tcW w:w="2178" w:type="dxa"/>
            <w:hideMark/>
          </w:tcPr>
          <w:p w:rsidR="00005DFC" w:rsidRPr="001272CA" w:rsidRDefault="00005DFC">
            <w:pPr>
              <w:rPr>
                <w:b/>
                <w:bCs/>
                <w:sz w:val="19"/>
                <w:szCs w:val="19"/>
              </w:rPr>
            </w:pPr>
            <w:r w:rsidRPr="001272CA">
              <w:rPr>
                <w:b/>
                <w:bCs/>
                <w:sz w:val="19"/>
                <w:szCs w:val="19"/>
              </w:rPr>
              <w:t>Medical Nutriti</w:t>
            </w:r>
            <w:r w:rsidR="007B0B8A" w:rsidRPr="001272CA">
              <w:rPr>
                <w:b/>
                <w:bCs/>
                <w:sz w:val="19"/>
                <w:szCs w:val="19"/>
              </w:rPr>
              <w:t>on Therapy for diabetes or chronic kidney</w:t>
            </w:r>
            <w:r w:rsidRPr="001272CA">
              <w:rPr>
                <w:b/>
                <w:bCs/>
                <w:sz w:val="19"/>
                <w:szCs w:val="19"/>
              </w:rPr>
              <w:t xml:space="preserve"> disease</w:t>
            </w:r>
          </w:p>
        </w:tc>
        <w:tc>
          <w:tcPr>
            <w:tcW w:w="5472" w:type="dxa"/>
            <w:hideMark/>
          </w:tcPr>
          <w:p w:rsidR="00005DFC" w:rsidRPr="001272CA" w:rsidRDefault="00005DFC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 xml:space="preserve">Requires referral by treating physician for patients with diabetes or renal disease. </w:t>
            </w:r>
          </w:p>
        </w:tc>
        <w:tc>
          <w:tcPr>
            <w:tcW w:w="1350" w:type="dxa"/>
            <w:hideMark/>
          </w:tcPr>
          <w:p w:rsidR="00005DFC" w:rsidRPr="001272CA" w:rsidRDefault="00005DFC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 </w:t>
            </w:r>
          </w:p>
        </w:tc>
        <w:tc>
          <w:tcPr>
            <w:tcW w:w="1153" w:type="dxa"/>
            <w:hideMark/>
          </w:tcPr>
          <w:p w:rsidR="00005DFC" w:rsidRPr="001272CA" w:rsidRDefault="00005DFC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 </w:t>
            </w:r>
          </w:p>
        </w:tc>
        <w:tc>
          <w:tcPr>
            <w:tcW w:w="1187" w:type="dxa"/>
            <w:hideMark/>
          </w:tcPr>
          <w:p w:rsidR="00005DFC" w:rsidRPr="001272CA" w:rsidRDefault="00005DFC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 </w:t>
            </w:r>
          </w:p>
        </w:tc>
      </w:tr>
      <w:tr w:rsidR="00C6122D" w:rsidRPr="001272CA" w:rsidTr="0034045A">
        <w:trPr>
          <w:trHeight w:val="503"/>
        </w:trPr>
        <w:tc>
          <w:tcPr>
            <w:tcW w:w="2178" w:type="dxa"/>
            <w:hideMark/>
          </w:tcPr>
          <w:p w:rsidR="00005DFC" w:rsidRPr="001272CA" w:rsidRDefault="00005DFC">
            <w:pPr>
              <w:rPr>
                <w:b/>
                <w:bCs/>
                <w:sz w:val="19"/>
                <w:szCs w:val="19"/>
              </w:rPr>
            </w:pPr>
            <w:r w:rsidRPr="001272CA">
              <w:rPr>
                <w:b/>
                <w:bCs/>
                <w:sz w:val="19"/>
                <w:szCs w:val="19"/>
              </w:rPr>
              <w:t>Cardiovascular screening blood tests</w:t>
            </w:r>
          </w:p>
        </w:tc>
        <w:tc>
          <w:tcPr>
            <w:tcW w:w="5472" w:type="dxa"/>
            <w:hideMark/>
          </w:tcPr>
          <w:p w:rsidR="00005DFC" w:rsidRPr="001272CA" w:rsidRDefault="00005DFC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Fasting lipid panel</w:t>
            </w:r>
            <w:r w:rsidR="0076299A">
              <w:rPr>
                <w:sz w:val="19"/>
                <w:szCs w:val="19"/>
              </w:rPr>
              <w:t xml:space="preserve"> (Once every 5 years without diagnosis)</w:t>
            </w:r>
          </w:p>
        </w:tc>
        <w:tc>
          <w:tcPr>
            <w:tcW w:w="1350" w:type="dxa"/>
            <w:hideMark/>
          </w:tcPr>
          <w:p w:rsidR="00005DFC" w:rsidRPr="001272CA" w:rsidRDefault="00005DFC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 </w:t>
            </w:r>
          </w:p>
        </w:tc>
        <w:tc>
          <w:tcPr>
            <w:tcW w:w="1153" w:type="dxa"/>
            <w:hideMark/>
          </w:tcPr>
          <w:p w:rsidR="00005DFC" w:rsidRPr="001272CA" w:rsidRDefault="00005DFC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 </w:t>
            </w:r>
          </w:p>
        </w:tc>
        <w:tc>
          <w:tcPr>
            <w:tcW w:w="1187" w:type="dxa"/>
            <w:hideMark/>
          </w:tcPr>
          <w:p w:rsidR="00005DFC" w:rsidRPr="001272CA" w:rsidRDefault="00005DFC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 </w:t>
            </w:r>
          </w:p>
        </w:tc>
      </w:tr>
      <w:tr w:rsidR="00C6122D" w:rsidRPr="001272CA" w:rsidTr="00684EFB">
        <w:trPr>
          <w:trHeight w:val="1925"/>
        </w:trPr>
        <w:tc>
          <w:tcPr>
            <w:tcW w:w="2178" w:type="dxa"/>
            <w:hideMark/>
          </w:tcPr>
          <w:p w:rsidR="00005DFC" w:rsidRPr="001272CA" w:rsidRDefault="00005DFC">
            <w:pPr>
              <w:rPr>
                <w:b/>
                <w:bCs/>
                <w:sz w:val="19"/>
                <w:szCs w:val="19"/>
              </w:rPr>
            </w:pPr>
            <w:r w:rsidRPr="001272CA">
              <w:rPr>
                <w:b/>
                <w:bCs/>
                <w:sz w:val="19"/>
                <w:szCs w:val="19"/>
              </w:rPr>
              <w:t>Diabetes screening tests (fasting blood sugar or glucose tolerance test)</w:t>
            </w:r>
            <w:r w:rsidR="008119BD">
              <w:rPr>
                <w:b/>
                <w:bCs/>
                <w:sz w:val="19"/>
                <w:szCs w:val="19"/>
              </w:rPr>
              <w:t>: A1c not covered</w:t>
            </w:r>
          </w:p>
        </w:tc>
        <w:tc>
          <w:tcPr>
            <w:tcW w:w="5472" w:type="dxa"/>
            <w:hideMark/>
          </w:tcPr>
          <w:p w:rsidR="00530D8C" w:rsidRPr="001272CA" w:rsidRDefault="0076299A" w:rsidP="00DF24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Once/yr without diagnosis or up to every 3 months for p</w:t>
            </w:r>
            <w:r w:rsidR="00005DFC" w:rsidRPr="001272CA">
              <w:rPr>
                <w:sz w:val="19"/>
                <w:szCs w:val="19"/>
              </w:rPr>
              <w:t>atient</w:t>
            </w:r>
            <w:r>
              <w:rPr>
                <w:sz w:val="19"/>
                <w:szCs w:val="19"/>
              </w:rPr>
              <w:t>s</w:t>
            </w:r>
            <w:r w:rsidR="00005DFC" w:rsidRPr="001272CA">
              <w:rPr>
                <w:sz w:val="19"/>
                <w:szCs w:val="19"/>
              </w:rPr>
              <w:t xml:space="preserve"> diagnosed with one of the following:                                                                        - Hypertension          - Dyslipidemia </w:t>
            </w:r>
            <w:r w:rsidR="0034045A">
              <w:rPr>
                <w:sz w:val="19"/>
                <w:szCs w:val="19"/>
              </w:rPr>
              <w:tab/>
            </w:r>
            <w:r w:rsidR="00005DFC" w:rsidRPr="001272CA">
              <w:rPr>
                <w:sz w:val="19"/>
                <w:szCs w:val="19"/>
              </w:rPr>
              <w:t>- Obesity (BMI &gt;30)</w:t>
            </w:r>
          </w:p>
          <w:p w:rsidR="007B0B8A" w:rsidRPr="001272CA" w:rsidRDefault="00005DFC" w:rsidP="007B0B8A">
            <w:pPr>
              <w:ind w:left="144" w:hanging="144"/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 xml:space="preserve">- Previous ID of elevated impaired fasting blood sugar or glucose tolerance test or any two of the following: </w:t>
            </w:r>
          </w:p>
          <w:p w:rsidR="007B0B8A" w:rsidRDefault="007B0B8A" w:rsidP="007B0B8A">
            <w:pPr>
              <w:ind w:left="414" w:hanging="90"/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-</w:t>
            </w:r>
            <w:r w:rsidR="00005DFC" w:rsidRPr="001272CA">
              <w:rPr>
                <w:sz w:val="19"/>
                <w:szCs w:val="19"/>
              </w:rPr>
              <w:t>Overweight (BMI &gt;30)</w:t>
            </w:r>
            <w:r w:rsidR="0034045A">
              <w:rPr>
                <w:sz w:val="19"/>
                <w:szCs w:val="19"/>
              </w:rPr>
              <w:tab/>
            </w:r>
            <w:r w:rsidR="0034045A">
              <w:rPr>
                <w:sz w:val="19"/>
                <w:szCs w:val="19"/>
              </w:rPr>
              <w:tab/>
            </w:r>
            <w:r w:rsidR="00684EFB" w:rsidRPr="001272CA">
              <w:rPr>
                <w:sz w:val="19"/>
                <w:szCs w:val="19"/>
              </w:rPr>
              <w:t>-History of gestational</w:t>
            </w:r>
          </w:p>
          <w:p w:rsidR="00684EFB" w:rsidRDefault="0034045A" w:rsidP="00684EFB">
            <w:pPr>
              <w:ind w:left="414" w:hanging="90"/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-Age 65 or older</w:t>
            </w:r>
            <w:r w:rsidR="00684EFB">
              <w:rPr>
                <w:sz w:val="19"/>
                <w:szCs w:val="19"/>
              </w:rPr>
              <w:tab/>
            </w:r>
            <w:r w:rsidR="00684EFB">
              <w:rPr>
                <w:sz w:val="19"/>
                <w:szCs w:val="19"/>
              </w:rPr>
              <w:tab/>
            </w:r>
            <w:r w:rsidR="00684EFB" w:rsidRPr="001272CA">
              <w:rPr>
                <w:sz w:val="19"/>
                <w:szCs w:val="19"/>
              </w:rPr>
              <w:t>diabetes or birth to baby</w:t>
            </w:r>
          </w:p>
          <w:p w:rsidR="00005DFC" w:rsidRPr="001272CA" w:rsidRDefault="00684EFB" w:rsidP="00684EFB">
            <w:pPr>
              <w:ind w:left="414" w:hanging="90"/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-Family history of diabetes</w:t>
            </w:r>
            <w:r>
              <w:rPr>
                <w:sz w:val="19"/>
                <w:szCs w:val="19"/>
              </w:rPr>
              <w:tab/>
            </w:r>
            <w:r w:rsidRPr="001272CA">
              <w:rPr>
                <w:sz w:val="19"/>
                <w:szCs w:val="19"/>
              </w:rPr>
              <w:t>weighing more than 9 lbs.</w:t>
            </w:r>
            <w:r>
              <w:rPr>
                <w:sz w:val="19"/>
                <w:szCs w:val="19"/>
              </w:rPr>
              <w:tab/>
            </w:r>
          </w:p>
        </w:tc>
        <w:tc>
          <w:tcPr>
            <w:tcW w:w="1350" w:type="dxa"/>
            <w:hideMark/>
          </w:tcPr>
          <w:p w:rsidR="00005DFC" w:rsidRPr="001272CA" w:rsidRDefault="00005DFC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 </w:t>
            </w:r>
          </w:p>
        </w:tc>
        <w:tc>
          <w:tcPr>
            <w:tcW w:w="1153" w:type="dxa"/>
            <w:hideMark/>
          </w:tcPr>
          <w:p w:rsidR="00005DFC" w:rsidRPr="001272CA" w:rsidRDefault="00005DFC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 </w:t>
            </w:r>
          </w:p>
        </w:tc>
        <w:tc>
          <w:tcPr>
            <w:tcW w:w="1187" w:type="dxa"/>
            <w:hideMark/>
          </w:tcPr>
          <w:p w:rsidR="00005DFC" w:rsidRPr="001272CA" w:rsidRDefault="00005DFC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 </w:t>
            </w:r>
          </w:p>
        </w:tc>
      </w:tr>
      <w:tr w:rsidR="00C6122D" w:rsidRPr="001272CA" w:rsidTr="001272CA">
        <w:trPr>
          <w:trHeight w:val="1871"/>
        </w:trPr>
        <w:tc>
          <w:tcPr>
            <w:tcW w:w="2178" w:type="dxa"/>
            <w:hideMark/>
          </w:tcPr>
          <w:p w:rsidR="00005DFC" w:rsidRPr="001272CA" w:rsidRDefault="00005DFC">
            <w:pPr>
              <w:rPr>
                <w:b/>
                <w:bCs/>
                <w:sz w:val="19"/>
                <w:szCs w:val="19"/>
              </w:rPr>
            </w:pPr>
            <w:r w:rsidRPr="001272CA">
              <w:rPr>
                <w:b/>
                <w:bCs/>
                <w:sz w:val="19"/>
                <w:szCs w:val="19"/>
              </w:rPr>
              <w:t>Abdominal Aortic Aneurysm Screening</w:t>
            </w:r>
          </w:p>
        </w:tc>
        <w:tc>
          <w:tcPr>
            <w:tcW w:w="5472" w:type="dxa"/>
            <w:hideMark/>
          </w:tcPr>
          <w:p w:rsidR="00DF2438" w:rsidRPr="001272CA" w:rsidRDefault="00005DFC" w:rsidP="00DF2438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Patient must not have had a screening for abdominal aortic aneurysm before under Medicare. Limited to patients who meet one of the following criteria:</w:t>
            </w:r>
          </w:p>
          <w:p w:rsidR="00DF2438" w:rsidRPr="001272CA" w:rsidRDefault="007B0B8A" w:rsidP="007B0B8A">
            <w:pPr>
              <w:ind w:left="414" w:hanging="90"/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-</w:t>
            </w:r>
            <w:r w:rsidR="00005DFC" w:rsidRPr="001272CA">
              <w:rPr>
                <w:sz w:val="19"/>
                <w:szCs w:val="19"/>
              </w:rPr>
              <w:t xml:space="preserve">Men who are 65-75 years old and have smoked more than 100 cigarettes in their lifetime. </w:t>
            </w:r>
          </w:p>
          <w:p w:rsidR="00DF2438" w:rsidRPr="001272CA" w:rsidRDefault="00005DFC" w:rsidP="007B0B8A">
            <w:pPr>
              <w:ind w:left="414" w:hanging="90"/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-Anyone with a family history of abdominal aortic aneurysm</w:t>
            </w:r>
          </w:p>
          <w:p w:rsidR="00005DFC" w:rsidRPr="001272CA" w:rsidRDefault="00005DFC" w:rsidP="007B0B8A">
            <w:pPr>
              <w:ind w:left="414" w:hanging="90"/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-Anyone recommended for screening by the U.S. Preventive Services Task Force.</w:t>
            </w:r>
          </w:p>
        </w:tc>
        <w:tc>
          <w:tcPr>
            <w:tcW w:w="1350" w:type="dxa"/>
            <w:hideMark/>
          </w:tcPr>
          <w:p w:rsidR="00005DFC" w:rsidRPr="001272CA" w:rsidRDefault="00005DFC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 </w:t>
            </w:r>
          </w:p>
        </w:tc>
        <w:tc>
          <w:tcPr>
            <w:tcW w:w="1153" w:type="dxa"/>
            <w:hideMark/>
          </w:tcPr>
          <w:p w:rsidR="00005DFC" w:rsidRPr="001272CA" w:rsidRDefault="00005DFC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 </w:t>
            </w:r>
          </w:p>
        </w:tc>
        <w:tc>
          <w:tcPr>
            <w:tcW w:w="1187" w:type="dxa"/>
            <w:hideMark/>
          </w:tcPr>
          <w:p w:rsidR="00005DFC" w:rsidRPr="001272CA" w:rsidRDefault="00005DFC">
            <w:pPr>
              <w:rPr>
                <w:sz w:val="19"/>
                <w:szCs w:val="19"/>
              </w:rPr>
            </w:pPr>
            <w:r w:rsidRPr="001272CA">
              <w:rPr>
                <w:sz w:val="19"/>
                <w:szCs w:val="19"/>
              </w:rPr>
              <w:t> </w:t>
            </w:r>
          </w:p>
        </w:tc>
      </w:tr>
      <w:tr w:rsidR="00D25B0B" w:rsidRPr="001272CA" w:rsidTr="001272CA">
        <w:trPr>
          <w:trHeight w:val="1871"/>
        </w:trPr>
        <w:tc>
          <w:tcPr>
            <w:tcW w:w="2178" w:type="dxa"/>
          </w:tcPr>
          <w:p w:rsidR="00D25B0B" w:rsidRPr="001272CA" w:rsidRDefault="00D25B0B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Lung Cancer Screening Counseling</w:t>
            </w:r>
            <w:r w:rsidR="00684EFB">
              <w:rPr>
                <w:b/>
                <w:bCs/>
                <w:sz w:val="19"/>
                <w:szCs w:val="19"/>
              </w:rPr>
              <w:t xml:space="preserve"> and Annual Screening for Lung C</w:t>
            </w:r>
            <w:r>
              <w:rPr>
                <w:b/>
                <w:bCs/>
                <w:sz w:val="19"/>
                <w:szCs w:val="19"/>
              </w:rPr>
              <w:t xml:space="preserve">ancer with low dose chest CT </w:t>
            </w:r>
          </w:p>
        </w:tc>
        <w:tc>
          <w:tcPr>
            <w:tcW w:w="5472" w:type="dxa"/>
          </w:tcPr>
          <w:p w:rsidR="00D25B0B" w:rsidRDefault="00D25B0B" w:rsidP="00D25B0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Covered annually for ages 55-77 with: </w:t>
            </w:r>
          </w:p>
          <w:p w:rsidR="00D25B0B" w:rsidRDefault="00D25B0B" w:rsidP="00D25B0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-no symptoms of lung cancer</w:t>
            </w:r>
          </w:p>
          <w:p w:rsidR="00684EFB" w:rsidRDefault="00D25B0B" w:rsidP="00D25B0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 w:rsidRPr="00D25B0B">
              <w:rPr>
                <w:sz w:val="19"/>
                <w:szCs w:val="19"/>
              </w:rPr>
              <w:t>smoking history of at least 30 pack-years (1 pack-year= 1 pack per</w:t>
            </w:r>
          </w:p>
          <w:p w:rsidR="00D25B0B" w:rsidRDefault="00D25B0B" w:rsidP="00D25B0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day x 1 year; 1 pack= 20ci</w:t>
            </w:r>
            <w:r w:rsidR="00684EFB">
              <w:rPr>
                <w:sz w:val="19"/>
                <w:szCs w:val="19"/>
              </w:rPr>
              <w:t>gs)</w:t>
            </w:r>
          </w:p>
          <w:p w:rsidR="00D25B0B" w:rsidRPr="00684EFB" w:rsidRDefault="00684EFB" w:rsidP="00684EFB">
            <w:pPr>
              <w:pStyle w:val="ListParagraph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="00D25B0B" w:rsidRPr="00684EFB">
              <w:rPr>
                <w:sz w:val="19"/>
                <w:szCs w:val="19"/>
              </w:rPr>
              <w:t xml:space="preserve">current smoker or one who has quit in the past 15 years. </w:t>
            </w:r>
          </w:p>
          <w:p w:rsidR="00D25B0B" w:rsidRPr="0034045A" w:rsidRDefault="00D25B0B" w:rsidP="00D25B0B">
            <w:pPr>
              <w:rPr>
                <w:sz w:val="14"/>
                <w:szCs w:val="14"/>
              </w:rPr>
            </w:pPr>
            <w:bookmarkStart w:id="0" w:name="_GoBack"/>
            <w:bookmarkEnd w:id="0"/>
          </w:p>
          <w:p w:rsidR="00D25B0B" w:rsidRPr="00D25B0B" w:rsidRDefault="00D25B0B" w:rsidP="00D25B0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Must receive counseling before the first lung cancer LDCT screening. In subsequent years, patient must receive a written order given during a visit with a physician/PA/ARNP. </w:t>
            </w:r>
            <w:r w:rsidR="008B604B">
              <w:rPr>
                <w:sz w:val="19"/>
                <w:szCs w:val="19"/>
              </w:rPr>
              <w:t xml:space="preserve"> Deductible waived, copay/coinsurance waived. </w:t>
            </w:r>
          </w:p>
        </w:tc>
        <w:tc>
          <w:tcPr>
            <w:tcW w:w="1350" w:type="dxa"/>
          </w:tcPr>
          <w:p w:rsidR="00D25B0B" w:rsidRPr="001272CA" w:rsidRDefault="00D25B0B">
            <w:pPr>
              <w:rPr>
                <w:sz w:val="19"/>
                <w:szCs w:val="19"/>
              </w:rPr>
            </w:pPr>
          </w:p>
        </w:tc>
        <w:tc>
          <w:tcPr>
            <w:tcW w:w="1153" w:type="dxa"/>
          </w:tcPr>
          <w:p w:rsidR="00D25B0B" w:rsidRPr="001272CA" w:rsidRDefault="00D25B0B">
            <w:pPr>
              <w:rPr>
                <w:sz w:val="19"/>
                <w:szCs w:val="19"/>
              </w:rPr>
            </w:pPr>
          </w:p>
        </w:tc>
        <w:tc>
          <w:tcPr>
            <w:tcW w:w="1187" w:type="dxa"/>
          </w:tcPr>
          <w:p w:rsidR="00D25B0B" w:rsidRPr="001272CA" w:rsidRDefault="00D25B0B">
            <w:pPr>
              <w:rPr>
                <w:sz w:val="19"/>
                <w:szCs w:val="19"/>
              </w:rPr>
            </w:pPr>
          </w:p>
        </w:tc>
      </w:tr>
    </w:tbl>
    <w:p w:rsidR="0003342B" w:rsidRDefault="0003342B" w:rsidP="0034045A"/>
    <w:sectPr w:rsidR="0003342B" w:rsidSect="00E24196">
      <w:pgSz w:w="12240" w:h="15840" w:code="1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275" w:rsidRDefault="00120275" w:rsidP="00E24196">
      <w:r>
        <w:separator/>
      </w:r>
    </w:p>
  </w:endnote>
  <w:endnote w:type="continuationSeparator" w:id="1">
    <w:p w:rsidR="00120275" w:rsidRDefault="00120275" w:rsidP="00E24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275" w:rsidRDefault="00120275" w:rsidP="00E24196">
      <w:r>
        <w:separator/>
      </w:r>
    </w:p>
  </w:footnote>
  <w:footnote w:type="continuationSeparator" w:id="1">
    <w:p w:rsidR="00120275" w:rsidRDefault="00120275" w:rsidP="00E241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1746A"/>
    <w:multiLevelType w:val="hybridMultilevel"/>
    <w:tmpl w:val="4BBCCA26"/>
    <w:lvl w:ilvl="0" w:tplc="47028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B36F2"/>
    <w:multiLevelType w:val="hybridMultilevel"/>
    <w:tmpl w:val="038423B2"/>
    <w:lvl w:ilvl="0" w:tplc="C8C6F8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C0C41"/>
    <w:multiLevelType w:val="hybridMultilevel"/>
    <w:tmpl w:val="B52E3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24E71"/>
    <w:multiLevelType w:val="hybridMultilevel"/>
    <w:tmpl w:val="652257F2"/>
    <w:lvl w:ilvl="0" w:tplc="A37A2B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DFC"/>
    <w:rsid w:val="00005DFC"/>
    <w:rsid w:val="0003342B"/>
    <w:rsid w:val="000348A7"/>
    <w:rsid w:val="00111930"/>
    <w:rsid w:val="00120275"/>
    <w:rsid w:val="001272CA"/>
    <w:rsid w:val="0014226A"/>
    <w:rsid w:val="00147D05"/>
    <w:rsid w:val="0034045A"/>
    <w:rsid w:val="00494802"/>
    <w:rsid w:val="004E0716"/>
    <w:rsid w:val="00530D8C"/>
    <w:rsid w:val="005457C0"/>
    <w:rsid w:val="0058536E"/>
    <w:rsid w:val="00684EFB"/>
    <w:rsid w:val="0076299A"/>
    <w:rsid w:val="007B0B8A"/>
    <w:rsid w:val="008119BD"/>
    <w:rsid w:val="00824F5C"/>
    <w:rsid w:val="008B604B"/>
    <w:rsid w:val="00A34A94"/>
    <w:rsid w:val="00A40318"/>
    <w:rsid w:val="00C3620F"/>
    <w:rsid w:val="00C6122D"/>
    <w:rsid w:val="00CD5EE3"/>
    <w:rsid w:val="00D25B0B"/>
    <w:rsid w:val="00DF2438"/>
    <w:rsid w:val="00E1024B"/>
    <w:rsid w:val="00E24196"/>
    <w:rsid w:val="00FF0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0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196"/>
  </w:style>
  <w:style w:type="paragraph" w:styleId="Footer">
    <w:name w:val="footer"/>
    <w:basedOn w:val="Normal"/>
    <w:link w:val="FooterChar"/>
    <w:uiPriority w:val="99"/>
    <w:unhideWhenUsed/>
    <w:rsid w:val="00E24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196"/>
  </w:style>
  <w:style w:type="paragraph" w:styleId="BalloonText">
    <w:name w:val="Balloon Text"/>
    <w:basedOn w:val="Normal"/>
    <w:link w:val="BalloonTextChar"/>
    <w:uiPriority w:val="99"/>
    <w:semiHidden/>
    <w:unhideWhenUsed/>
    <w:rsid w:val="00E24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196"/>
  </w:style>
  <w:style w:type="paragraph" w:styleId="Footer">
    <w:name w:val="footer"/>
    <w:basedOn w:val="Normal"/>
    <w:link w:val="FooterChar"/>
    <w:uiPriority w:val="99"/>
    <w:unhideWhenUsed/>
    <w:rsid w:val="00E24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196"/>
  </w:style>
  <w:style w:type="paragraph" w:styleId="BalloonText">
    <w:name w:val="Balloon Text"/>
    <w:basedOn w:val="Normal"/>
    <w:link w:val="BalloonTextChar"/>
    <w:uiPriority w:val="99"/>
    <w:semiHidden/>
    <w:unhideWhenUsed/>
    <w:rsid w:val="00E24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Romanelli</dc:creator>
  <cp:lastModifiedBy>David Hall</cp:lastModifiedBy>
  <cp:revision>2</cp:revision>
  <cp:lastPrinted>2016-04-25T18:21:00Z</cp:lastPrinted>
  <dcterms:created xsi:type="dcterms:W3CDTF">2016-08-26T03:11:00Z</dcterms:created>
  <dcterms:modified xsi:type="dcterms:W3CDTF">2016-08-26T03:11:00Z</dcterms:modified>
</cp:coreProperties>
</file>