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FB2F" w14:textId="77777777" w:rsidR="00FA295D" w:rsidRDefault="00FA295D" w:rsidP="00654BF3">
      <w:pPr>
        <w:pStyle w:val="Heading2"/>
        <w:spacing w:before="0"/>
        <w:rPr>
          <w:rFonts w:asciiTheme="minorHAnsi" w:eastAsiaTheme="minorHAnsi" w:hAnsiTheme="minorHAnsi" w:cstheme="minorBidi"/>
          <w:color w:val="auto"/>
          <w:sz w:val="24"/>
          <w:szCs w:val="24"/>
        </w:rPr>
      </w:pPr>
    </w:p>
    <w:p w14:paraId="3F748148" w14:textId="152A02BE" w:rsidR="00B46D68" w:rsidRDefault="00B46D68" w:rsidP="00654BF3">
      <w:pPr>
        <w:pStyle w:val="Heading2"/>
        <w:spacing w:before="0"/>
        <w:rPr>
          <w:rFonts w:ascii="Cambria Math" w:hAnsi="Cambria Math"/>
          <w:b/>
          <w:color w:val="000000" w:themeColor="text1"/>
          <w:sz w:val="22"/>
          <w:szCs w:val="22"/>
        </w:rPr>
      </w:pPr>
      <w:r w:rsidRPr="00B46D68">
        <w:rPr>
          <w:rFonts w:ascii="Cambria Math" w:hAnsi="Cambria Math"/>
          <w:b/>
          <w:color w:val="000000" w:themeColor="text1"/>
          <w:sz w:val="22"/>
          <w:szCs w:val="22"/>
        </w:rPr>
        <w:t>Non-benzodiazepine hypnotics (Z-drugs)</w:t>
      </w:r>
    </w:p>
    <w:p w14:paraId="7B853748" w14:textId="702E55EF" w:rsidR="00B46D68" w:rsidRPr="00654BF3" w:rsidRDefault="00B46D68" w:rsidP="00654BF3">
      <w:pPr>
        <w:pStyle w:val="ListParagraph"/>
        <w:numPr>
          <w:ilvl w:val="0"/>
          <w:numId w:val="2"/>
        </w:numPr>
        <w:rPr>
          <w:rFonts w:ascii="Cambria Math" w:hAnsi="Cambria Math"/>
          <w:sz w:val="22"/>
          <w:szCs w:val="22"/>
        </w:rPr>
      </w:pPr>
      <w:r w:rsidRPr="00654BF3">
        <w:rPr>
          <w:rFonts w:ascii="Cambria Math" w:hAnsi="Cambria Math"/>
          <w:sz w:val="22"/>
          <w:szCs w:val="22"/>
        </w:rPr>
        <w:t>Examples: zolpidem, zaleplon, eszopiclone</w:t>
      </w:r>
    </w:p>
    <w:p w14:paraId="0492009E" w14:textId="0F4464DF" w:rsidR="00B46D68" w:rsidRPr="00654BF3" w:rsidRDefault="00B46D68" w:rsidP="00654BF3">
      <w:pPr>
        <w:pStyle w:val="ListParagraph"/>
        <w:numPr>
          <w:ilvl w:val="0"/>
          <w:numId w:val="2"/>
        </w:numPr>
        <w:rPr>
          <w:rFonts w:ascii="Cambria Math" w:hAnsi="Cambria Math"/>
          <w:sz w:val="22"/>
          <w:szCs w:val="22"/>
        </w:rPr>
      </w:pPr>
      <w:r w:rsidRPr="00654BF3">
        <w:rPr>
          <w:rFonts w:ascii="Cambria Math" w:hAnsi="Cambria Math"/>
          <w:sz w:val="22"/>
          <w:szCs w:val="22"/>
        </w:rPr>
        <w:t>Prefer zolpidem to help fall asleep and stay asleep or zaleplon to help fall asleep or fall back asleep if having periodic nighttime awaking</w:t>
      </w:r>
    </w:p>
    <w:p w14:paraId="4DDE8751" w14:textId="15C19F68" w:rsidR="00B46D68" w:rsidRPr="00654BF3" w:rsidRDefault="00B46D68" w:rsidP="00654BF3">
      <w:pPr>
        <w:pStyle w:val="ListParagraph"/>
        <w:numPr>
          <w:ilvl w:val="0"/>
          <w:numId w:val="2"/>
        </w:numPr>
        <w:rPr>
          <w:rFonts w:ascii="Cambria Math" w:hAnsi="Cambria Math"/>
          <w:sz w:val="22"/>
          <w:szCs w:val="22"/>
        </w:rPr>
      </w:pPr>
      <w:r w:rsidRPr="00654BF3">
        <w:rPr>
          <w:rFonts w:ascii="Cambria Math" w:hAnsi="Cambria Math"/>
          <w:sz w:val="22"/>
          <w:szCs w:val="22"/>
        </w:rPr>
        <w:t xml:space="preserve">Avoid eszopiclone if possible due to its longer half-life (6–9 hours) and patients commonly reporting a metallic taste and headaches with use </w:t>
      </w:r>
    </w:p>
    <w:p w14:paraId="66DA363C" w14:textId="256B8B8D" w:rsidR="00B46D68" w:rsidRPr="00654BF3" w:rsidRDefault="00B46D68" w:rsidP="00654BF3">
      <w:pPr>
        <w:pStyle w:val="ListParagraph"/>
        <w:numPr>
          <w:ilvl w:val="0"/>
          <w:numId w:val="2"/>
        </w:numPr>
        <w:rPr>
          <w:rFonts w:ascii="Cambria Math" w:hAnsi="Cambria Math"/>
          <w:sz w:val="22"/>
          <w:szCs w:val="22"/>
        </w:rPr>
      </w:pPr>
      <w:r w:rsidRPr="00654BF3">
        <w:rPr>
          <w:rFonts w:ascii="Cambria Math" w:hAnsi="Cambria Math"/>
          <w:sz w:val="22"/>
          <w:szCs w:val="22"/>
        </w:rPr>
        <w:t>Class has minimal effects on sleep architecture and the best long-term data (6–12 months)</w:t>
      </w:r>
    </w:p>
    <w:p w14:paraId="5DC8FE1F" w14:textId="2ADCAABF" w:rsidR="00464D54" w:rsidRDefault="00464D54" w:rsidP="00654BF3">
      <w:pPr>
        <w:pStyle w:val="ListParagraph"/>
        <w:numPr>
          <w:ilvl w:val="0"/>
          <w:numId w:val="2"/>
        </w:numPr>
        <w:rPr>
          <w:rFonts w:ascii="Cambria Math" w:hAnsi="Cambria Math"/>
          <w:sz w:val="22"/>
          <w:szCs w:val="22"/>
        </w:rPr>
      </w:pPr>
      <w:r>
        <w:rPr>
          <w:rFonts w:ascii="Cambria Math" w:hAnsi="Cambria Math"/>
          <w:sz w:val="22"/>
          <w:szCs w:val="22"/>
        </w:rPr>
        <w:t xml:space="preserve">Must allow for 7–8 hours of total sleep time </w:t>
      </w:r>
    </w:p>
    <w:p w14:paraId="7EE147E7" w14:textId="495BB203" w:rsidR="00B46D68" w:rsidRDefault="00654BF3" w:rsidP="00654BF3">
      <w:pPr>
        <w:pStyle w:val="ListParagraph"/>
        <w:numPr>
          <w:ilvl w:val="0"/>
          <w:numId w:val="2"/>
        </w:numPr>
        <w:rPr>
          <w:rFonts w:ascii="Cambria Math" w:hAnsi="Cambria Math"/>
          <w:sz w:val="22"/>
          <w:szCs w:val="22"/>
        </w:rPr>
      </w:pPr>
      <w:r w:rsidRPr="00654BF3">
        <w:rPr>
          <w:rFonts w:ascii="Cambria Math" w:hAnsi="Cambria Math"/>
          <w:sz w:val="22"/>
          <w:szCs w:val="22"/>
        </w:rPr>
        <w:t>Precautions: next day impairment and CNS depression, parasomnias, abnormal thinking, and behavioral changes</w:t>
      </w:r>
    </w:p>
    <w:p w14:paraId="68B67FAA" w14:textId="0B8E0425" w:rsidR="00654BF3" w:rsidRDefault="00654BF3" w:rsidP="00654BF3">
      <w:pPr>
        <w:rPr>
          <w:rFonts w:ascii="Cambria Math" w:hAnsi="Cambria Math"/>
          <w:sz w:val="22"/>
          <w:szCs w:val="22"/>
        </w:rPr>
      </w:pPr>
    </w:p>
    <w:p w14:paraId="6241B46A" w14:textId="11DD1677" w:rsidR="00654BF3" w:rsidRPr="00654BF3" w:rsidRDefault="00654BF3" w:rsidP="00654BF3">
      <w:pPr>
        <w:pStyle w:val="Heading2"/>
        <w:spacing w:before="0"/>
        <w:rPr>
          <w:rFonts w:ascii="Cambria Math" w:hAnsi="Cambria Math"/>
          <w:b/>
          <w:color w:val="000000" w:themeColor="text1"/>
          <w:sz w:val="22"/>
          <w:szCs w:val="22"/>
        </w:rPr>
      </w:pPr>
      <w:r w:rsidRPr="00654BF3">
        <w:rPr>
          <w:rFonts w:ascii="Cambria Math" w:hAnsi="Cambria Math"/>
          <w:b/>
          <w:color w:val="000000" w:themeColor="text1"/>
          <w:sz w:val="22"/>
          <w:szCs w:val="22"/>
        </w:rPr>
        <w:t>Melatonin Agonists</w:t>
      </w:r>
    </w:p>
    <w:p w14:paraId="69B38FC5" w14:textId="2639C229" w:rsidR="00654BF3" w:rsidRDefault="006B7518" w:rsidP="006B7518">
      <w:pPr>
        <w:pStyle w:val="ListParagraph"/>
        <w:numPr>
          <w:ilvl w:val="0"/>
          <w:numId w:val="3"/>
        </w:numPr>
        <w:rPr>
          <w:rFonts w:ascii="Cambria Math" w:hAnsi="Cambria Math"/>
          <w:sz w:val="22"/>
          <w:szCs w:val="22"/>
        </w:rPr>
      </w:pPr>
      <w:r>
        <w:rPr>
          <w:rFonts w:ascii="Cambria Math" w:hAnsi="Cambria Math"/>
          <w:sz w:val="22"/>
          <w:szCs w:val="22"/>
        </w:rPr>
        <w:t>Examples: melatonin and ramelteon</w:t>
      </w:r>
    </w:p>
    <w:p w14:paraId="10DA64F5" w14:textId="3EAD885D" w:rsidR="006B7518" w:rsidRDefault="006B7518" w:rsidP="006B7518">
      <w:pPr>
        <w:pStyle w:val="ListParagraph"/>
        <w:numPr>
          <w:ilvl w:val="0"/>
          <w:numId w:val="3"/>
        </w:numPr>
        <w:rPr>
          <w:rFonts w:ascii="Cambria Math" w:hAnsi="Cambria Math"/>
          <w:sz w:val="22"/>
          <w:szCs w:val="22"/>
        </w:rPr>
      </w:pPr>
      <w:r>
        <w:rPr>
          <w:rFonts w:ascii="Cambria Math" w:hAnsi="Cambria Math"/>
          <w:sz w:val="22"/>
          <w:szCs w:val="22"/>
        </w:rPr>
        <w:t>Potentially consider melatonin first due to cost, but caution purity concerns with over the counter medications</w:t>
      </w:r>
    </w:p>
    <w:p w14:paraId="22552A22" w14:textId="2648FE2A" w:rsidR="006B7518" w:rsidRDefault="006B7518" w:rsidP="006B7518">
      <w:pPr>
        <w:pStyle w:val="ListParagraph"/>
        <w:numPr>
          <w:ilvl w:val="0"/>
          <w:numId w:val="3"/>
        </w:numPr>
        <w:rPr>
          <w:rFonts w:ascii="Cambria Math" w:hAnsi="Cambria Math"/>
          <w:sz w:val="22"/>
          <w:szCs w:val="22"/>
        </w:rPr>
      </w:pPr>
      <w:r>
        <w:rPr>
          <w:rFonts w:ascii="Cambria Math" w:hAnsi="Cambria Math"/>
          <w:sz w:val="22"/>
          <w:szCs w:val="22"/>
        </w:rPr>
        <w:t>Evidence is much more impressive for circadian rhythm disorders (e.g., jet lag, shift work) than insomnia, but they may decrease sleep latency (7–10 minutes) and increase total sleep time (8–10 minutes)</w:t>
      </w:r>
      <w:r w:rsidR="00D32358">
        <w:rPr>
          <w:rFonts w:ascii="Cambria Math" w:hAnsi="Cambria Math"/>
          <w:sz w:val="22"/>
          <w:szCs w:val="22"/>
        </w:rPr>
        <w:t xml:space="preserve"> based on data from ramelteon</w:t>
      </w:r>
    </w:p>
    <w:p w14:paraId="58CBFED3" w14:textId="667EDAB9" w:rsidR="003965B0" w:rsidRDefault="006B7518" w:rsidP="006B7518">
      <w:pPr>
        <w:pStyle w:val="ListParagraph"/>
        <w:numPr>
          <w:ilvl w:val="0"/>
          <w:numId w:val="3"/>
        </w:numPr>
        <w:rPr>
          <w:rFonts w:ascii="Cambria Math" w:hAnsi="Cambria Math"/>
          <w:sz w:val="22"/>
          <w:szCs w:val="22"/>
        </w:rPr>
      </w:pPr>
      <w:r>
        <w:rPr>
          <w:rFonts w:ascii="Cambria Math" w:hAnsi="Cambria Math"/>
          <w:sz w:val="22"/>
          <w:szCs w:val="22"/>
        </w:rPr>
        <w:t xml:space="preserve">Nice alternative in older adults with </w:t>
      </w:r>
      <w:r w:rsidR="003965B0">
        <w:rPr>
          <w:rFonts w:ascii="Cambria Math" w:hAnsi="Cambria Math"/>
          <w:sz w:val="22"/>
          <w:szCs w:val="22"/>
        </w:rPr>
        <w:t xml:space="preserve">concerns for </w:t>
      </w:r>
      <w:r w:rsidR="0023540B">
        <w:rPr>
          <w:rFonts w:ascii="Cambria Math" w:hAnsi="Cambria Math"/>
          <w:sz w:val="22"/>
          <w:szCs w:val="22"/>
        </w:rPr>
        <w:t>over sedation</w:t>
      </w:r>
    </w:p>
    <w:p w14:paraId="1CA39083" w14:textId="2B99C9C5" w:rsidR="006B7518" w:rsidRDefault="003965B0" w:rsidP="006B7518">
      <w:pPr>
        <w:pStyle w:val="ListParagraph"/>
        <w:numPr>
          <w:ilvl w:val="0"/>
          <w:numId w:val="3"/>
        </w:numPr>
        <w:rPr>
          <w:rFonts w:ascii="Cambria Math" w:hAnsi="Cambria Math"/>
          <w:sz w:val="22"/>
          <w:szCs w:val="22"/>
        </w:rPr>
      </w:pPr>
      <w:r>
        <w:rPr>
          <w:rFonts w:ascii="Cambria Math" w:hAnsi="Cambria Math"/>
          <w:sz w:val="22"/>
          <w:szCs w:val="22"/>
        </w:rPr>
        <w:t>Precautions with ramelteon: hyperprolactinemia, drug-drug interactions</w:t>
      </w:r>
      <w:r w:rsidR="006B7518">
        <w:rPr>
          <w:rFonts w:ascii="Cambria Math" w:hAnsi="Cambria Math"/>
          <w:sz w:val="22"/>
          <w:szCs w:val="22"/>
        </w:rPr>
        <w:t xml:space="preserve"> </w:t>
      </w:r>
    </w:p>
    <w:p w14:paraId="45DE46E2" w14:textId="651F9F6F" w:rsidR="0023540B" w:rsidRDefault="0023540B" w:rsidP="0023540B">
      <w:pPr>
        <w:rPr>
          <w:rFonts w:ascii="Cambria Math" w:hAnsi="Cambria Math"/>
          <w:sz w:val="22"/>
          <w:szCs w:val="22"/>
        </w:rPr>
      </w:pPr>
    </w:p>
    <w:p w14:paraId="0934405E" w14:textId="32777A71" w:rsidR="0023540B" w:rsidRDefault="0023540B" w:rsidP="0023540B">
      <w:pPr>
        <w:pStyle w:val="Heading2"/>
        <w:rPr>
          <w:rFonts w:ascii="Cambria Math" w:hAnsi="Cambria Math"/>
          <w:b/>
          <w:color w:val="000000" w:themeColor="text1"/>
          <w:sz w:val="22"/>
          <w:szCs w:val="22"/>
        </w:rPr>
      </w:pPr>
      <w:r w:rsidRPr="0023540B">
        <w:rPr>
          <w:rFonts w:ascii="Cambria Math" w:hAnsi="Cambria Math"/>
          <w:b/>
          <w:color w:val="000000" w:themeColor="text1"/>
          <w:sz w:val="22"/>
          <w:szCs w:val="22"/>
        </w:rPr>
        <w:t>Antidepressants</w:t>
      </w:r>
    </w:p>
    <w:p w14:paraId="2CA110A0" w14:textId="7B82C592" w:rsidR="0023540B" w:rsidRDefault="0023540B" w:rsidP="0023540B">
      <w:pPr>
        <w:pStyle w:val="ListParagraph"/>
        <w:numPr>
          <w:ilvl w:val="0"/>
          <w:numId w:val="4"/>
        </w:numPr>
        <w:rPr>
          <w:rFonts w:ascii="Cambria Math" w:hAnsi="Cambria Math"/>
          <w:sz w:val="22"/>
          <w:szCs w:val="22"/>
        </w:rPr>
      </w:pPr>
      <w:r>
        <w:rPr>
          <w:rFonts w:ascii="Cambria Math" w:hAnsi="Cambria Math"/>
          <w:sz w:val="22"/>
          <w:szCs w:val="22"/>
        </w:rPr>
        <w:t>Examples: doxepin, nortriptyline, mirtazepine, SSRIs, trazodone</w:t>
      </w:r>
    </w:p>
    <w:p w14:paraId="62E273D0" w14:textId="5A2EC81C" w:rsidR="0023540B" w:rsidRDefault="00E33E02" w:rsidP="0023540B">
      <w:pPr>
        <w:pStyle w:val="ListParagraph"/>
        <w:numPr>
          <w:ilvl w:val="0"/>
          <w:numId w:val="4"/>
        </w:numPr>
        <w:rPr>
          <w:rFonts w:ascii="Cambria Math" w:hAnsi="Cambria Math"/>
          <w:sz w:val="22"/>
          <w:szCs w:val="22"/>
        </w:rPr>
      </w:pPr>
      <w:r>
        <w:rPr>
          <w:rFonts w:ascii="Cambria Math" w:hAnsi="Cambria Math"/>
          <w:sz w:val="22"/>
          <w:szCs w:val="22"/>
        </w:rPr>
        <w:t>Best to assess depression or psychiatric disorders objectively to determine treatment goals (e.g., depression remission, intermittent use to decrease sleep latency), follow measurements over time, and identify the importance of behavioral health intervention</w:t>
      </w:r>
    </w:p>
    <w:p w14:paraId="7200DE13" w14:textId="5C9A94BB" w:rsidR="00E33E02" w:rsidRDefault="00E33E02" w:rsidP="0023540B">
      <w:pPr>
        <w:pStyle w:val="ListParagraph"/>
        <w:numPr>
          <w:ilvl w:val="0"/>
          <w:numId w:val="4"/>
        </w:numPr>
        <w:rPr>
          <w:rFonts w:ascii="Cambria Math" w:hAnsi="Cambria Math"/>
          <w:sz w:val="22"/>
          <w:szCs w:val="22"/>
        </w:rPr>
      </w:pPr>
      <w:r>
        <w:rPr>
          <w:rFonts w:ascii="Cambria Math" w:hAnsi="Cambria Math"/>
          <w:sz w:val="22"/>
          <w:szCs w:val="22"/>
        </w:rPr>
        <w:t>If truly treating major depressive disorder, typically shoot for max tolerated doses with the goal of depression remission</w:t>
      </w:r>
    </w:p>
    <w:p w14:paraId="099D8E79" w14:textId="5A3EC2FD" w:rsidR="00E33E02" w:rsidRDefault="00E33E02" w:rsidP="0023540B">
      <w:pPr>
        <w:pStyle w:val="ListParagraph"/>
        <w:numPr>
          <w:ilvl w:val="0"/>
          <w:numId w:val="4"/>
        </w:numPr>
        <w:rPr>
          <w:rFonts w:ascii="Cambria Math" w:hAnsi="Cambria Math"/>
          <w:sz w:val="22"/>
          <w:szCs w:val="22"/>
        </w:rPr>
      </w:pPr>
      <w:r>
        <w:rPr>
          <w:rFonts w:ascii="Cambria Math" w:hAnsi="Cambria Math"/>
          <w:sz w:val="22"/>
          <w:szCs w:val="22"/>
        </w:rPr>
        <w:t>Keep in mind side effects, treatment response, cost, comorbid conditions, interactions</w:t>
      </w:r>
    </w:p>
    <w:p w14:paraId="34CB3DAD" w14:textId="69492205" w:rsidR="00EA2321" w:rsidRDefault="00EA2321" w:rsidP="0023540B">
      <w:pPr>
        <w:pStyle w:val="ListParagraph"/>
        <w:numPr>
          <w:ilvl w:val="0"/>
          <w:numId w:val="4"/>
        </w:numPr>
        <w:rPr>
          <w:rFonts w:ascii="Cambria Math" w:hAnsi="Cambria Math"/>
          <w:sz w:val="22"/>
          <w:szCs w:val="22"/>
        </w:rPr>
      </w:pPr>
      <w:r>
        <w:rPr>
          <w:rFonts w:ascii="Cambria Math" w:hAnsi="Cambria Math"/>
          <w:sz w:val="22"/>
          <w:szCs w:val="22"/>
        </w:rPr>
        <w:t>Avoid widespread use of trazodone due to side effects (e.g., orthostatic hypotension, priapism) and beware use of brand doxepin (</w:t>
      </w:r>
      <w:proofErr w:type="spellStart"/>
      <w:r>
        <w:rPr>
          <w:rFonts w:ascii="Cambria Math" w:hAnsi="Cambria Math"/>
          <w:sz w:val="22"/>
          <w:szCs w:val="22"/>
        </w:rPr>
        <w:t>Silenor</w:t>
      </w:r>
      <w:proofErr w:type="spellEnd"/>
      <w:r>
        <w:rPr>
          <w:rFonts w:ascii="Cambria Math" w:hAnsi="Cambria Math"/>
          <w:sz w:val="22"/>
          <w:szCs w:val="22"/>
        </w:rPr>
        <w:t xml:space="preserve">) because a generic </w:t>
      </w:r>
      <w:r w:rsidR="00420139">
        <w:rPr>
          <w:rFonts w:ascii="Cambria Math" w:hAnsi="Cambria Math"/>
          <w:sz w:val="22"/>
          <w:szCs w:val="22"/>
        </w:rPr>
        <w:t>drug</w:t>
      </w:r>
      <w:r>
        <w:rPr>
          <w:rFonts w:ascii="Cambria Math" w:hAnsi="Cambria Math"/>
          <w:sz w:val="22"/>
          <w:szCs w:val="22"/>
        </w:rPr>
        <w:t xml:space="preserve"> is available</w:t>
      </w:r>
    </w:p>
    <w:p w14:paraId="74854787" w14:textId="3A7EDBEC" w:rsidR="00FB1B46" w:rsidRDefault="00FB1B46" w:rsidP="00FB1B46">
      <w:pPr>
        <w:rPr>
          <w:rFonts w:ascii="Cambria Math" w:hAnsi="Cambria Math"/>
          <w:sz w:val="22"/>
          <w:szCs w:val="22"/>
        </w:rPr>
      </w:pPr>
    </w:p>
    <w:p w14:paraId="610BEEE1" w14:textId="091D336C" w:rsidR="00A95A8F" w:rsidRDefault="00A95A8F" w:rsidP="00A95A8F">
      <w:pPr>
        <w:pStyle w:val="Heading2"/>
        <w:rPr>
          <w:rFonts w:ascii="Cambria Math" w:hAnsi="Cambria Math"/>
          <w:b/>
          <w:color w:val="000000" w:themeColor="text1"/>
          <w:sz w:val="22"/>
          <w:szCs w:val="22"/>
        </w:rPr>
      </w:pPr>
      <w:r w:rsidRPr="00A95A8F">
        <w:rPr>
          <w:rFonts w:ascii="Cambria Math" w:hAnsi="Cambria Math"/>
          <w:b/>
          <w:color w:val="000000" w:themeColor="text1"/>
          <w:sz w:val="22"/>
          <w:szCs w:val="22"/>
        </w:rPr>
        <w:t>Antihistamines</w:t>
      </w:r>
    </w:p>
    <w:p w14:paraId="404A7566" w14:textId="4885F267" w:rsidR="00356D4E" w:rsidRDefault="00B81645" w:rsidP="00356D4E">
      <w:pPr>
        <w:pStyle w:val="ListParagraph"/>
        <w:numPr>
          <w:ilvl w:val="0"/>
          <w:numId w:val="5"/>
        </w:numPr>
        <w:rPr>
          <w:rFonts w:ascii="Cambria Math" w:hAnsi="Cambria Math"/>
          <w:sz w:val="22"/>
          <w:szCs w:val="22"/>
        </w:rPr>
      </w:pPr>
      <w:r>
        <w:rPr>
          <w:rFonts w:ascii="Cambria Math" w:hAnsi="Cambria Math"/>
          <w:sz w:val="22"/>
          <w:szCs w:val="22"/>
        </w:rPr>
        <w:t>Examples: diphenhydramine, chlorpheniramine, doxylamine, hydroxyzine</w:t>
      </w:r>
    </w:p>
    <w:p w14:paraId="6AFDDAA1" w14:textId="222BD7D8" w:rsidR="00B81645" w:rsidRPr="00B81645" w:rsidRDefault="00B81645" w:rsidP="00B81645">
      <w:pPr>
        <w:pStyle w:val="ListParagraph"/>
        <w:numPr>
          <w:ilvl w:val="0"/>
          <w:numId w:val="5"/>
        </w:numPr>
        <w:rPr>
          <w:rFonts w:ascii="Cambria Math" w:hAnsi="Cambria Math"/>
          <w:sz w:val="22"/>
          <w:szCs w:val="22"/>
        </w:rPr>
      </w:pPr>
      <w:r>
        <w:rPr>
          <w:rFonts w:ascii="Cambria Math" w:hAnsi="Cambria Math"/>
          <w:sz w:val="22"/>
          <w:szCs w:val="22"/>
        </w:rPr>
        <w:t>Evidence of benefit is less robust than many FDA approved treatments; s</w:t>
      </w:r>
      <w:r>
        <w:rPr>
          <w:rFonts w:ascii="Cambria Math" w:hAnsi="Cambria Math"/>
          <w:sz w:val="22"/>
          <w:szCs w:val="22"/>
        </w:rPr>
        <w:t>hort term it may slightly reduce sleep latency, but consistent long-term use may result in tachyphylaxis</w:t>
      </w:r>
    </w:p>
    <w:p w14:paraId="53A9A713" w14:textId="3FA5D794" w:rsidR="00B81645" w:rsidRDefault="00B81645" w:rsidP="00356D4E">
      <w:pPr>
        <w:pStyle w:val="ListParagraph"/>
        <w:numPr>
          <w:ilvl w:val="0"/>
          <w:numId w:val="5"/>
        </w:numPr>
        <w:rPr>
          <w:rFonts w:ascii="Cambria Math" w:hAnsi="Cambria Math"/>
          <w:sz w:val="22"/>
          <w:szCs w:val="22"/>
        </w:rPr>
      </w:pPr>
      <w:r>
        <w:rPr>
          <w:rFonts w:ascii="Cambria Math" w:hAnsi="Cambria Math"/>
          <w:sz w:val="22"/>
          <w:szCs w:val="22"/>
        </w:rPr>
        <w:t xml:space="preserve">Precautions: anticholinergic side effects (e.g., dry mouth, constipation, urinary retention), cognitive impairment in older adults, </w:t>
      </w:r>
      <w:r w:rsidR="009E1216">
        <w:rPr>
          <w:rFonts w:ascii="Cambria Math" w:hAnsi="Cambria Math"/>
          <w:sz w:val="22"/>
          <w:szCs w:val="22"/>
        </w:rPr>
        <w:t>delirium, may impair sleep architecture</w:t>
      </w:r>
    </w:p>
    <w:p w14:paraId="584C1C89" w14:textId="1B349001" w:rsidR="009E1216" w:rsidRDefault="009E1216" w:rsidP="009E1216">
      <w:pPr>
        <w:rPr>
          <w:rFonts w:ascii="Cambria Math" w:hAnsi="Cambria Math"/>
          <w:sz w:val="22"/>
          <w:szCs w:val="22"/>
        </w:rPr>
      </w:pPr>
    </w:p>
    <w:p w14:paraId="4A8533A8" w14:textId="5D3011CC" w:rsidR="009E1216" w:rsidRPr="00E4598D" w:rsidRDefault="00E4598D" w:rsidP="009E1216">
      <w:pPr>
        <w:pStyle w:val="Heading2"/>
        <w:rPr>
          <w:rFonts w:ascii="Cambria Math" w:hAnsi="Cambria Math"/>
          <w:b/>
          <w:color w:val="000000" w:themeColor="text1"/>
          <w:sz w:val="22"/>
          <w:szCs w:val="22"/>
        </w:rPr>
      </w:pPr>
      <w:r w:rsidRPr="00E4598D">
        <w:rPr>
          <w:rFonts w:ascii="Cambria Math" w:hAnsi="Cambria Math"/>
          <w:b/>
          <w:color w:val="000000" w:themeColor="text1"/>
          <w:sz w:val="22"/>
          <w:szCs w:val="22"/>
        </w:rPr>
        <w:t>Orexin receptor antagonists</w:t>
      </w:r>
    </w:p>
    <w:p w14:paraId="1827AA8F" w14:textId="76EC18EF" w:rsidR="00E4598D" w:rsidRDefault="00E4598D" w:rsidP="00E4598D">
      <w:pPr>
        <w:pStyle w:val="ListParagraph"/>
        <w:numPr>
          <w:ilvl w:val="0"/>
          <w:numId w:val="6"/>
        </w:numPr>
        <w:rPr>
          <w:rFonts w:ascii="Cambria Math" w:hAnsi="Cambria Math"/>
          <w:sz w:val="22"/>
          <w:szCs w:val="22"/>
        </w:rPr>
      </w:pPr>
      <w:r>
        <w:rPr>
          <w:rFonts w:ascii="Cambria Math" w:hAnsi="Cambria Math"/>
          <w:sz w:val="22"/>
          <w:szCs w:val="22"/>
        </w:rPr>
        <w:t>Example: suvorexant</w:t>
      </w:r>
    </w:p>
    <w:p w14:paraId="5A8572D9" w14:textId="4651BC56" w:rsidR="00E4598D" w:rsidRDefault="00E4598D" w:rsidP="00E4598D">
      <w:pPr>
        <w:pStyle w:val="ListParagraph"/>
        <w:numPr>
          <w:ilvl w:val="0"/>
          <w:numId w:val="6"/>
        </w:numPr>
        <w:rPr>
          <w:rFonts w:ascii="Cambria Math" w:hAnsi="Cambria Math"/>
          <w:sz w:val="22"/>
          <w:szCs w:val="22"/>
        </w:rPr>
      </w:pPr>
      <w:r>
        <w:rPr>
          <w:rFonts w:ascii="Cambria Math" w:hAnsi="Cambria Math"/>
          <w:sz w:val="22"/>
          <w:szCs w:val="22"/>
        </w:rPr>
        <w:t>Similar evidence of benefit to the non-benzodiazepine hypnotics</w:t>
      </w:r>
      <w:r w:rsidR="00AA1AA3">
        <w:rPr>
          <w:rFonts w:ascii="Cambria Math" w:hAnsi="Cambria Math"/>
          <w:sz w:val="22"/>
          <w:szCs w:val="22"/>
        </w:rPr>
        <w:t xml:space="preserve"> with many similar risks (e.g., </w:t>
      </w:r>
      <w:r w:rsidR="001162FA">
        <w:rPr>
          <w:rFonts w:ascii="Cambria Math" w:hAnsi="Cambria Math"/>
          <w:sz w:val="22"/>
          <w:szCs w:val="22"/>
        </w:rPr>
        <w:t>behavior changes, parasomnias, CNS depression, depression, abuse)</w:t>
      </w:r>
    </w:p>
    <w:p w14:paraId="48B2F8E6" w14:textId="4AC17EF2" w:rsidR="001162FA" w:rsidRDefault="001162FA" w:rsidP="00E4598D">
      <w:pPr>
        <w:pStyle w:val="ListParagraph"/>
        <w:numPr>
          <w:ilvl w:val="0"/>
          <w:numId w:val="6"/>
        </w:numPr>
        <w:rPr>
          <w:rFonts w:ascii="Cambria Math" w:hAnsi="Cambria Math"/>
          <w:sz w:val="22"/>
          <w:szCs w:val="22"/>
        </w:rPr>
      </w:pPr>
      <w:r>
        <w:rPr>
          <w:rFonts w:ascii="Cambria Math" w:hAnsi="Cambria Math"/>
          <w:sz w:val="22"/>
          <w:szCs w:val="22"/>
        </w:rPr>
        <w:t>Thought to have less effects on sleep architecture, but there is a caution for REM sleep changes resulting in sleep paralysis and cataplexy; note narcolepsy is a contraindication!</w:t>
      </w:r>
    </w:p>
    <w:p w14:paraId="648BCEAB" w14:textId="199FFF93" w:rsidR="001162FA" w:rsidRDefault="001162FA" w:rsidP="00E4598D">
      <w:pPr>
        <w:pStyle w:val="ListParagraph"/>
        <w:numPr>
          <w:ilvl w:val="0"/>
          <w:numId w:val="6"/>
        </w:numPr>
        <w:rPr>
          <w:rFonts w:ascii="Cambria Math" w:hAnsi="Cambria Math"/>
          <w:sz w:val="22"/>
          <w:szCs w:val="22"/>
        </w:rPr>
      </w:pPr>
      <w:r>
        <w:rPr>
          <w:rFonts w:ascii="Cambria Math" w:hAnsi="Cambria Math"/>
          <w:sz w:val="22"/>
          <w:szCs w:val="22"/>
        </w:rPr>
        <w:t>Watch out for significant drug interactions (e.g., CYP3A4 interactions, CNS depressants)</w:t>
      </w:r>
    </w:p>
    <w:p w14:paraId="2A1C6CF1" w14:textId="382BEA7B" w:rsidR="0069098A" w:rsidRDefault="0069098A" w:rsidP="0069098A">
      <w:pPr>
        <w:pStyle w:val="Heading2"/>
        <w:rPr>
          <w:rFonts w:ascii="Cambria Math" w:hAnsi="Cambria Math"/>
          <w:color w:val="000000" w:themeColor="text1"/>
          <w:sz w:val="22"/>
          <w:szCs w:val="22"/>
        </w:rPr>
      </w:pPr>
      <w:bookmarkStart w:id="0" w:name="_GoBack"/>
      <w:bookmarkEnd w:id="0"/>
      <w:r w:rsidRPr="0069098A">
        <w:rPr>
          <w:rFonts w:ascii="Cambria Math" w:hAnsi="Cambria Math"/>
          <w:b/>
          <w:color w:val="000000" w:themeColor="text1"/>
          <w:sz w:val="22"/>
          <w:szCs w:val="22"/>
        </w:rPr>
        <w:lastRenderedPageBreak/>
        <w:t>Benzodiazepines</w:t>
      </w:r>
    </w:p>
    <w:p w14:paraId="7C54D21B" w14:textId="1CB107AF" w:rsidR="0069098A" w:rsidRPr="0069098A" w:rsidRDefault="0069098A" w:rsidP="0069098A">
      <w:pPr>
        <w:pStyle w:val="ListParagraph"/>
        <w:numPr>
          <w:ilvl w:val="0"/>
          <w:numId w:val="8"/>
        </w:numPr>
        <w:rPr>
          <w:rFonts w:ascii="Cambria Math" w:hAnsi="Cambria Math"/>
          <w:sz w:val="22"/>
          <w:szCs w:val="22"/>
        </w:rPr>
      </w:pPr>
      <w:r w:rsidRPr="0069098A">
        <w:rPr>
          <w:rFonts w:ascii="Cambria Math" w:hAnsi="Cambria Math"/>
          <w:sz w:val="22"/>
          <w:szCs w:val="22"/>
        </w:rPr>
        <w:t>Examples: lorazepam, temazepam</w:t>
      </w:r>
    </w:p>
    <w:p w14:paraId="4E80938C" w14:textId="50FADDEE" w:rsidR="0069098A" w:rsidRDefault="00112981" w:rsidP="0069098A">
      <w:pPr>
        <w:pStyle w:val="ListParagraph"/>
        <w:numPr>
          <w:ilvl w:val="0"/>
          <w:numId w:val="8"/>
        </w:numPr>
        <w:rPr>
          <w:rFonts w:ascii="Cambria Math" w:hAnsi="Cambria Math"/>
          <w:sz w:val="22"/>
          <w:szCs w:val="22"/>
        </w:rPr>
      </w:pPr>
      <w:r>
        <w:rPr>
          <w:rFonts w:ascii="Cambria Math" w:hAnsi="Cambria Math"/>
          <w:sz w:val="22"/>
          <w:szCs w:val="22"/>
        </w:rPr>
        <w:t>2</w:t>
      </w:r>
      <w:r w:rsidRPr="00112981">
        <w:rPr>
          <w:rFonts w:ascii="Cambria Math" w:hAnsi="Cambria Math"/>
          <w:sz w:val="22"/>
          <w:szCs w:val="22"/>
          <w:vertAlign w:val="superscript"/>
        </w:rPr>
        <w:t>nd</w:t>
      </w:r>
      <w:r>
        <w:rPr>
          <w:rFonts w:ascii="Cambria Math" w:hAnsi="Cambria Math"/>
          <w:sz w:val="22"/>
          <w:szCs w:val="22"/>
        </w:rPr>
        <w:t xml:space="preserve"> or 3</w:t>
      </w:r>
      <w:r w:rsidRPr="00112981">
        <w:rPr>
          <w:rFonts w:ascii="Cambria Math" w:hAnsi="Cambria Math"/>
          <w:sz w:val="22"/>
          <w:szCs w:val="22"/>
          <w:vertAlign w:val="superscript"/>
        </w:rPr>
        <w:t>rd</w:t>
      </w:r>
      <w:r>
        <w:rPr>
          <w:rFonts w:ascii="Cambria Math" w:hAnsi="Cambria Math"/>
          <w:sz w:val="22"/>
          <w:szCs w:val="22"/>
        </w:rPr>
        <w:t xml:space="preserve"> line therapy</w:t>
      </w:r>
      <w:r w:rsidR="00FA295D">
        <w:rPr>
          <w:rFonts w:ascii="Cambria Math" w:hAnsi="Cambria Math"/>
          <w:sz w:val="22"/>
          <w:szCs w:val="22"/>
        </w:rPr>
        <w:t xml:space="preserve"> because of safety concerns</w:t>
      </w:r>
      <w:r w:rsidR="004122BA">
        <w:rPr>
          <w:rFonts w:ascii="Cambria Math" w:hAnsi="Cambria Math"/>
          <w:sz w:val="22"/>
          <w:szCs w:val="22"/>
        </w:rPr>
        <w:t xml:space="preserve"> although more reasonable if treating co-morbid psychiatric disorders like anxiety</w:t>
      </w:r>
    </w:p>
    <w:p w14:paraId="2EAD201B" w14:textId="30A88F09" w:rsidR="004122BA" w:rsidRDefault="004122BA" w:rsidP="0069098A">
      <w:pPr>
        <w:pStyle w:val="ListParagraph"/>
        <w:numPr>
          <w:ilvl w:val="0"/>
          <w:numId w:val="8"/>
        </w:numPr>
        <w:rPr>
          <w:rFonts w:ascii="Cambria Math" w:hAnsi="Cambria Math"/>
          <w:sz w:val="22"/>
          <w:szCs w:val="22"/>
        </w:rPr>
      </w:pPr>
      <w:r>
        <w:rPr>
          <w:rFonts w:ascii="Cambria Math" w:hAnsi="Cambria Math"/>
          <w:sz w:val="22"/>
          <w:szCs w:val="22"/>
        </w:rPr>
        <w:t>Will increase total sleep time and decrease sleep latency although thought to negatively impact sleep architecture</w:t>
      </w:r>
    </w:p>
    <w:p w14:paraId="4D8426C8" w14:textId="50D8BC17" w:rsidR="004122BA" w:rsidRDefault="004122BA" w:rsidP="0069098A">
      <w:pPr>
        <w:pStyle w:val="ListParagraph"/>
        <w:numPr>
          <w:ilvl w:val="0"/>
          <w:numId w:val="8"/>
        </w:numPr>
        <w:rPr>
          <w:rFonts w:ascii="Cambria Math" w:hAnsi="Cambria Math"/>
          <w:sz w:val="22"/>
          <w:szCs w:val="22"/>
        </w:rPr>
      </w:pPr>
      <w:r>
        <w:rPr>
          <w:rFonts w:ascii="Cambria Math" w:hAnsi="Cambria Math"/>
          <w:sz w:val="22"/>
          <w:szCs w:val="22"/>
        </w:rPr>
        <w:t>Potentially quite helpful in rhythmic movement disorders of sleep</w:t>
      </w:r>
    </w:p>
    <w:p w14:paraId="25B48C6F" w14:textId="1FDA3714" w:rsidR="004122BA" w:rsidRDefault="004122BA" w:rsidP="0069098A">
      <w:pPr>
        <w:pStyle w:val="ListParagraph"/>
        <w:numPr>
          <w:ilvl w:val="0"/>
          <w:numId w:val="8"/>
        </w:numPr>
        <w:rPr>
          <w:rFonts w:ascii="Cambria Math" w:hAnsi="Cambria Math"/>
          <w:sz w:val="22"/>
          <w:szCs w:val="22"/>
        </w:rPr>
      </w:pPr>
      <w:r>
        <w:rPr>
          <w:rFonts w:ascii="Cambria Math" w:hAnsi="Cambria Math"/>
          <w:sz w:val="22"/>
          <w:szCs w:val="22"/>
        </w:rPr>
        <w:t>Precautions: physical dependence, abuse, daytime somnolence, amnesia, anticholinergic side effects, CNS depression, &amp; cessation rebound effects (e.g., insomnia, anxiety, seizures)</w:t>
      </w:r>
    </w:p>
    <w:p w14:paraId="629D4383" w14:textId="4633E383" w:rsidR="00FA295D" w:rsidRDefault="00FA295D" w:rsidP="00FA295D">
      <w:pPr>
        <w:rPr>
          <w:rFonts w:ascii="Cambria Math" w:hAnsi="Cambria Math"/>
          <w:sz w:val="22"/>
          <w:szCs w:val="22"/>
        </w:rPr>
      </w:pPr>
    </w:p>
    <w:p w14:paraId="4FABFA25" w14:textId="5DC7F530" w:rsidR="00FA295D" w:rsidRDefault="00FA295D" w:rsidP="00FA295D">
      <w:pPr>
        <w:pStyle w:val="Heading2"/>
        <w:rPr>
          <w:rFonts w:ascii="Cambria Math" w:hAnsi="Cambria Math"/>
          <w:b/>
          <w:color w:val="000000" w:themeColor="text1"/>
          <w:sz w:val="22"/>
          <w:szCs w:val="22"/>
        </w:rPr>
      </w:pPr>
      <w:r w:rsidRPr="00FA295D">
        <w:rPr>
          <w:rFonts w:ascii="Cambria Math" w:hAnsi="Cambria Math"/>
          <w:b/>
          <w:color w:val="000000" w:themeColor="text1"/>
          <w:sz w:val="22"/>
          <w:szCs w:val="22"/>
        </w:rPr>
        <w:t>References</w:t>
      </w:r>
    </w:p>
    <w:p w14:paraId="5DECA9B9" w14:textId="404C34CF" w:rsidR="00D457CA" w:rsidRDefault="00E640D5" w:rsidP="00FA295D">
      <w:pPr>
        <w:pStyle w:val="ListParagraph"/>
        <w:numPr>
          <w:ilvl w:val="0"/>
          <w:numId w:val="9"/>
        </w:numPr>
        <w:rPr>
          <w:rFonts w:ascii="Cambria Math" w:hAnsi="Cambria Math"/>
          <w:sz w:val="22"/>
          <w:szCs w:val="22"/>
        </w:rPr>
      </w:pPr>
      <w:proofErr w:type="spellStart"/>
      <w:r>
        <w:rPr>
          <w:rFonts w:ascii="Cambria Math" w:hAnsi="Cambria Math"/>
          <w:sz w:val="22"/>
          <w:szCs w:val="22"/>
        </w:rPr>
        <w:t>Asnis</w:t>
      </w:r>
      <w:proofErr w:type="spellEnd"/>
      <w:r>
        <w:rPr>
          <w:rFonts w:ascii="Cambria Math" w:hAnsi="Cambria Math"/>
          <w:sz w:val="22"/>
          <w:szCs w:val="22"/>
        </w:rPr>
        <w:t xml:space="preserve"> GM, et al. Pharmacotherapy treatment options for insomnia: a primer for clinicians. </w:t>
      </w:r>
      <w:proofErr w:type="spellStart"/>
      <w:r>
        <w:rPr>
          <w:rFonts w:ascii="Cambria Math" w:hAnsi="Cambria Math"/>
          <w:i/>
          <w:sz w:val="22"/>
          <w:szCs w:val="22"/>
        </w:rPr>
        <w:t>Int</w:t>
      </w:r>
      <w:proofErr w:type="spellEnd"/>
      <w:r>
        <w:rPr>
          <w:rFonts w:ascii="Cambria Math" w:hAnsi="Cambria Math"/>
          <w:i/>
          <w:sz w:val="22"/>
          <w:szCs w:val="22"/>
        </w:rPr>
        <w:t xml:space="preserve"> J </w:t>
      </w:r>
      <w:proofErr w:type="spellStart"/>
      <w:r>
        <w:rPr>
          <w:rFonts w:ascii="Cambria Math" w:hAnsi="Cambria Math"/>
          <w:i/>
          <w:sz w:val="22"/>
          <w:szCs w:val="22"/>
        </w:rPr>
        <w:t>Mol</w:t>
      </w:r>
      <w:proofErr w:type="spellEnd"/>
      <w:r>
        <w:rPr>
          <w:rFonts w:ascii="Cambria Math" w:hAnsi="Cambria Math"/>
          <w:i/>
          <w:sz w:val="22"/>
          <w:szCs w:val="22"/>
        </w:rPr>
        <w:t xml:space="preserve"> Sci</w:t>
      </w:r>
      <w:r>
        <w:rPr>
          <w:rFonts w:ascii="Cambria Math" w:hAnsi="Cambria Math"/>
          <w:sz w:val="22"/>
          <w:szCs w:val="22"/>
        </w:rPr>
        <w:t>. 2016;17(50):1–11.</w:t>
      </w:r>
    </w:p>
    <w:p w14:paraId="1C07EBEF" w14:textId="6C7BB876" w:rsidR="00E640D5" w:rsidRDefault="00E640D5" w:rsidP="00FA295D">
      <w:pPr>
        <w:pStyle w:val="ListParagraph"/>
        <w:numPr>
          <w:ilvl w:val="0"/>
          <w:numId w:val="9"/>
        </w:numPr>
        <w:rPr>
          <w:rFonts w:ascii="Cambria Math" w:hAnsi="Cambria Math"/>
          <w:sz w:val="22"/>
          <w:szCs w:val="22"/>
        </w:rPr>
      </w:pPr>
      <w:r>
        <w:rPr>
          <w:rFonts w:ascii="Cambria Math" w:hAnsi="Cambria Math"/>
          <w:sz w:val="22"/>
          <w:szCs w:val="22"/>
        </w:rPr>
        <w:t xml:space="preserve">Matheson E, et al. Insomnia: pharmacologic therapy. </w:t>
      </w:r>
      <w:r>
        <w:rPr>
          <w:rFonts w:ascii="Cambria Math" w:hAnsi="Cambria Math"/>
          <w:i/>
          <w:sz w:val="22"/>
          <w:szCs w:val="22"/>
        </w:rPr>
        <w:t>Am Fam Physician</w:t>
      </w:r>
      <w:r>
        <w:rPr>
          <w:rFonts w:ascii="Cambria Math" w:hAnsi="Cambria Math"/>
          <w:sz w:val="22"/>
          <w:szCs w:val="22"/>
        </w:rPr>
        <w:t>. 2017;96(1):29–35.</w:t>
      </w:r>
    </w:p>
    <w:p w14:paraId="5B161EA2" w14:textId="0453C061" w:rsidR="00FA295D" w:rsidRDefault="00D457CA" w:rsidP="00FA295D">
      <w:pPr>
        <w:pStyle w:val="ListParagraph"/>
        <w:numPr>
          <w:ilvl w:val="0"/>
          <w:numId w:val="9"/>
        </w:numPr>
        <w:rPr>
          <w:rFonts w:ascii="Cambria Math" w:hAnsi="Cambria Math"/>
          <w:sz w:val="22"/>
          <w:szCs w:val="22"/>
        </w:rPr>
      </w:pPr>
      <w:r>
        <w:rPr>
          <w:rFonts w:ascii="Cambria Math" w:hAnsi="Cambria Math"/>
          <w:sz w:val="22"/>
          <w:szCs w:val="22"/>
        </w:rPr>
        <w:t>Objective screening tools: Epworth Sleepiness Scale (8-question self-assessment) and Insomnia Severity Index (7-question self-assessment</w:t>
      </w:r>
      <w:r w:rsidR="00E640D5">
        <w:rPr>
          <w:rFonts w:ascii="Cambria Math" w:hAnsi="Cambria Math"/>
          <w:sz w:val="22"/>
          <w:szCs w:val="22"/>
        </w:rPr>
        <w:t>) both take 2–3 minutes to complete</w:t>
      </w:r>
    </w:p>
    <w:p w14:paraId="084B3D0F" w14:textId="3370AAC3" w:rsidR="00E640D5" w:rsidRDefault="00E640D5" w:rsidP="00FA295D">
      <w:pPr>
        <w:pStyle w:val="ListParagraph"/>
        <w:numPr>
          <w:ilvl w:val="0"/>
          <w:numId w:val="9"/>
        </w:numPr>
        <w:rPr>
          <w:rFonts w:ascii="Cambria Math" w:hAnsi="Cambria Math"/>
          <w:sz w:val="22"/>
          <w:szCs w:val="22"/>
        </w:rPr>
      </w:pPr>
      <w:proofErr w:type="spellStart"/>
      <w:r>
        <w:rPr>
          <w:rFonts w:ascii="Cambria Math" w:hAnsi="Cambria Math"/>
          <w:sz w:val="22"/>
          <w:szCs w:val="22"/>
        </w:rPr>
        <w:t>Procotor</w:t>
      </w:r>
      <w:proofErr w:type="spellEnd"/>
      <w:r>
        <w:rPr>
          <w:rFonts w:ascii="Cambria Math" w:hAnsi="Cambria Math"/>
          <w:sz w:val="22"/>
          <w:szCs w:val="22"/>
        </w:rPr>
        <w:t xml:space="preserve"> A, et al. Clinical pharmacology in sleep medicine. </w:t>
      </w:r>
      <w:r>
        <w:rPr>
          <w:rFonts w:ascii="Cambria Math" w:hAnsi="Cambria Math"/>
          <w:i/>
          <w:sz w:val="22"/>
          <w:szCs w:val="22"/>
        </w:rPr>
        <w:t>ISRN Pharmacology</w:t>
      </w:r>
      <w:r>
        <w:rPr>
          <w:rFonts w:ascii="Cambria Math" w:hAnsi="Cambria Math"/>
          <w:sz w:val="22"/>
          <w:szCs w:val="22"/>
        </w:rPr>
        <w:t>. 2012, Article ID 914168.</w:t>
      </w:r>
    </w:p>
    <w:p w14:paraId="5CADB1E3" w14:textId="4692C98F" w:rsidR="00214E8D" w:rsidRPr="00FA295D" w:rsidRDefault="00214E8D" w:rsidP="00FA295D">
      <w:pPr>
        <w:pStyle w:val="ListParagraph"/>
        <w:numPr>
          <w:ilvl w:val="0"/>
          <w:numId w:val="9"/>
        </w:numPr>
        <w:rPr>
          <w:rFonts w:ascii="Cambria Math" w:hAnsi="Cambria Math"/>
          <w:sz w:val="22"/>
          <w:szCs w:val="22"/>
        </w:rPr>
      </w:pPr>
      <w:proofErr w:type="spellStart"/>
      <w:r>
        <w:rPr>
          <w:rFonts w:ascii="Cambria Math" w:hAnsi="Cambria Math"/>
          <w:sz w:val="22"/>
          <w:szCs w:val="22"/>
        </w:rPr>
        <w:t>Sateia</w:t>
      </w:r>
      <w:proofErr w:type="spellEnd"/>
      <w:r>
        <w:rPr>
          <w:rFonts w:ascii="Cambria Math" w:hAnsi="Cambria Math"/>
          <w:sz w:val="22"/>
          <w:szCs w:val="22"/>
        </w:rPr>
        <w:t xml:space="preserve"> MJ, et al. </w:t>
      </w:r>
      <w:r w:rsidR="00700331">
        <w:rPr>
          <w:rFonts w:ascii="Cambria Math" w:hAnsi="Cambria Math"/>
          <w:sz w:val="22"/>
          <w:szCs w:val="22"/>
        </w:rPr>
        <w:t xml:space="preserve">Clinical practice guideline for the pharmacologic treatment of chronic insomnia in adults: an American Academy of Sleep Medicine clinical practice guideline. </w:t>
      </w:r>
      <w:r w:rsidR="00700331" w:rsidRPr="00700331">
        <w:rPr>
          <w:rFonts w:ascii="Cambria Math" w:hAnsi="Cambria Math"/>
          <w:i/>
          <w:sz w:val="22"/>
          <w:szCs w:val="22"/>
        </w:rPr>
        <w:t xml:space="preserve">J </w:t>
      </w:r>
      <w:proofErr w:type="spellStart"/>
      <w:r w:rsidR="00700331" w:rsidRPr="00700331">
        <w:rPr>
          <w:rFonts w:ascii="Cambria Math" w:hAnsi="Cambria Math"/>
          <w:i/>
          <w:sz w:val="22"/>
          <w:szCs w:val="22"/>
        </w:rPr>
        <w:t>Clin</w:t>
      </w:r>
      <w:proofErr w:type="spellEnd"/>
      <w:r w:rsidR="00700331" w:rsidRPr="00700331">
        <w:rPr>
          <w:rFonts w:ascii="Cambria Math" w:hAnsi="Cambria Math"/>
          <w:i/>
          <w:sz w:val="22"/>
          <w:szCs w:val="22"/>
        </w:rPr>
        <w:t xml:space="preserve"> Sleep Med</w:t>
      </w:r>
      <w:r w:rsidR="00700331" w:rsidRPr="00700331">
        <w:rPr>
          <w:rFonts w:ascii="Cambria Math" w:hAnsi="Cambria Math"/>
          <w:sz w:val="22"/>
          <w:szCs w:val="22"/>
        </w:rPr>
        <w:t xml:space="preserve">. </w:t>
      </w:r>
      <w:r w:rsidR="00700331">
        <w:rPr>
          <w:rFonts w:ascii="Cambria Math" w:hAnsi="Cambria Math"/>
          <w:sz w:val="22"/>
          <w:szCs w:val="22"/>
        </w:rPr>
        <w:t>2017;13(2):307–349.</w:t>
      </w:r>
    </w:p>
    <w:sectPr w:rsidR="00214E8D" w:rsidRPr="00FA295D" w:rsidSect="00E73F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238E1" w14:textId="77777777" w:rsidR="00B06223" w:rsidRDefault="00B06223" w:rsidP="00B46D68">
      <w:r>
        <w:separator/>
      </w:r>
    </w:p>
  </w:endnote>
  <w:endnote w:type="continuationSeparator" w:id="0">
    <w:p w14:paraId="0AE85069" w14:textId="77777777" w:rsidR="00B06223" w:rsidRDefault="00B06223" w:rsidP="00B4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ADF2" w14:textId="01FC902D" w:rsidR="00B46D68" w:rsidRDefault="00B46D68">
    <w:pPr>
      <w:pStyle w:val="Footer"/>
      <w:rPr>
        <w:rFonts w:ascii="Cambria Math" w:hAnsi="Cambria Math"/>
        <w:sz w:val="22"/>
        <w:szCs w:val="22"/>
      </w:rPr>
    </w:pPr>
    <w:r w:rsidRPr="00B46D68">
      <w:rPr>
        <w:rFonts w:ascii="Cambria Math" w:hAnsi="Cambria Math"/>
        <w:sz w:val="22"/>
        <w:szCs w:val="22"/>
      </w:rPr>
      <w:t>Created by: Scott Bragg, PharmD</w:t>
    </w:r>
  </w:p>
  <w:p w14:paraId="5133B89B" w14:textId="7A9DF0CF" w:rsidR="00FA295D" w:rsidRPr="00B46D68" w:rsidRDefault="00FA295D">
    <w:pPr>
      <w:pStyle w:val="Footer"/>
      <w:rPr>
        <w:rFonts w:ascii="Cambria Math" w:hAnsi="Cambria Math"/>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D5E11" w14:textId="77777777" w:rsidR="00B06223" w:rsidRDefault="00B06223" w:rsidP="00B46D68">
      <w:r>
        <w:separator/>
      </w:r>
    </w:p>
  </w:footnote>
  <w:footnote w:type="continuationSeparator" w:id="0">
    <w:p w14:paraId="50FC7091" w14:textId="77777777" w:rsidR="00B06223" w:rsidRDefault="00B06223" w:rsidP="00B46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DD60" w14:textId="77777777" w:rsidR="00FA295D" w:rsidRPr="00B46D68" w:rsidRDefault="00FA295D" w:rsidP="00FA295D">
    <w:pPr>
      <w:pStyle w:val="Heading1"/>
      <w:spacing w:before="0"/>
      <w:jc w:val="center"/>
      <w:rPr>
        <w:rFonts w:ascii="Cambria Math" w:hAnsi="Cambria Math"/>
        <w:color w:val="000000" w:themeColor="text1"/>
        <w:sz w:val="30"/>
        <w:szCs w:val="30"/>
      </w:rPr>
    </w:pPr>
    <w:r w:rsidRPr="00B46D68">
      <w:rPr>
        <w:rFonts w:ascii="Cambria Math" w:hAnsi="Cambria Math"/>
        <w:color w:val="000000" w:themeColor="text1"/>
        <w:sz w:val="30"/>
        <w:szCs w:val="30"/>
      </w:rPr>
      <w:t xml:space="preserve">Updates in Psychopharmacology–Medication </w:t>
    </w:r>
    <w:r>
      <w:rPr>
        <w:rFonts w:ascii="Cambria Math" w:hAnsi="Cambria Math"/>
        <w:color w:val="000000" w:themeColor="text1"/>
        <w:sz w:val="30"/>
        <w:szCs w:val="30"/>
      </w:rPr>
      <w:t>Tips</w:t>
    </w:r>
  </w:p>
  <w:p w14:paraId="30D3456D" w14:textId="70700984" w:rsidR="00FA295D" w:rsidRPr="00FA295D" w:rsidRDefault="00FA295D" w:rsidP="00FA295D">
    <w:pPr>
      <w:jc w:val="center"/>
      <w:rPr>
        <w:rFonts w:ascii="Cambria Math" w:hAnsi="Cambria Math"/>
        <w:color w:val="000000" w:themeColor="text1"/>
        <w:sz w:val="26"/>
        <w:szCs w:val="26"/>
      </w:rPr>
    </w:pPr>
    <w:r w:rsidRPr="00B46D68">
      <w:rPr>
        <w:rFonts w:ascii="Cambria Math" w:hAnsi="Cambria Math"/>
        <w:color w:val="000000" w:themeColor="text1"/>
        <w:sz w:val="26"/>
        <w:szCs w:val="26"/>
      </w:rPr>
      <w:t>39</w:t>
    </w:r>
    <w:r w:rsidRPr="00B46D68">
      <w:rPr>
        <w:rFonts w:ascii="Cambria Math" w:hAnsi="Cambria Math"/>
        <w:color w:val="000000" w:themeColor="text1"/>
        <w:sz w:val="26"/>
        <w:szCs w:val="26"/>
        <w:vertAlign w:val="superscript"/>
      </w:rPr>
      <w:t>th</w:t>
    </w:r>
    <w:r w:rsidRPr="00B46D68">
      <w:rPr>
        <w:rFonts w:ascii="Cambria Math" w:hAnsi="Cambria Math"/>
        <w:color w:val="000000" w:themeColor="text1"/>
        <w:sz w:val="26"/>
        <w:szCs w:val="26"/>
      </w:rPr>
      <w:t xml:space="preserve"> Annual Behavioral Health Forum | 10/12/18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FFE"/>
    <w:multiLevelType w:val="hybridMultilevel"/>
    <w:tmpl w:val="CB72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111B5"/>
    <w:multiLevelType w:val="hybridMultilevel"/>
    <w:tmpl w:val="22B0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75199"/>
    <w:multiLevelType w:val="hybridMultilevel"/>
    <w:tmpl w:val="50D2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6598E"/>
    <w:multiLevelType w:val="hybridMultilevel"/>
    <w:tmpl w:val="C70E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61FC6"/>
    <w:multiLevelType w:val="hybridMultilevel"/>
    <w:tmpl w:val="738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056A3"/>
    <w:multiLevelType w:val="hybridMultilevel"/>
    <w:tmpl w:val="F1CC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F6DD3"/>
    <w:multiLevelType w:val="hybridMultilevel"/>
    <w:tmpl w:val="2C62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1740B"/>
    <w:multiLevelType w:val="hybridMultilevel"/>
    <w:tmpl w:val="425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13690"/>
    <w:multiLevelType w:val="hybridMultilevel"/>
    <w:tmpl w:val="E37E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0"/>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68"/>
    <w:rsid w:val="00007BD8"/>
    <w:rsid w:val="0005647D"/>
    <w:rsid w:val="00087A11"/>
    <w:rsid w:val="00090BDD"/>
    <w:rsid w:val="000D3F63"/>
    <w:rsid w:val="000D58F1"/>
    <w:rsid w:val="000F3CF2"/>
    <w:rsid w:val="000F4E88"/>
    <w:rsid w:val="00112981"/>
    <w:rsid w:val="001153AD"/>
    <w:rsid w:val="001162FA"/>
    <w:rsid w:val="00151076"/>
    <w:rsid w:val="001B4FE1"/>
    <w:rsid w:val="001B7576"/>
    <w:rsid w:val="001C5808"/>
    <w:rsid w:val="001D0B5F"/>
    <w:rsid w:val="001E52B1"/>
    <w:rsid w:val="00200FF8"/>
    <w:rsid w:val="00204B95"/>
    <w:rsid w:val="00207827"/>
    <w:rsid w:val="00207A02"/>
    <w:rsid w:val="00214E8D"/>
    <w:rsid w:val="00217E9D"/>
    <w:rsid w:val="00224394"/>
    <w:rsid w:val="0023540B"/>
    <w:rsid w:val="00241FA1"/>
    <w:rsid w:val="00250720"/>
    <w:rsid w:val="002570B5"/>
    <w:rsid w:val="00267264"/>
    <w:rsid w:val="0028559F"/>
    <w:rsid w:val="002A7F82"/>
    <w:rsid w:val="002B15B4"/>
    <w:rsid w:val="002D38CF"/>
    <w:rsid w:val="002E14D7"/>
    <w:rsid w:val="002E6A55"/>
    <w:rsid w:val="003175F5"/>
    <w:rsid w:val="0033353F"/>
    <w:rsid w:val="00356D4E"/>
    <w:rsid w:val="0037680C"/>
    <w:rsid w:val="00386AC3"/>
    <w:rsid w:val="003965B0"/>
    <w:rsid w:val="003B2424"/>
    <w:rsid w:val="003C56F7"/>
    <w:rsid w:val="004122BA"/>
    <w:rsid w:val="00417C4C"/>
    <w:rsid w:val="00420139"/>
    <w:rsid w:val="00464D54"/>
    <w:rsid w:val="00467464"/>
    <w:rsid w:val="0049229B"/>
    <w:rsid w:val="004E4E9E"/>
    <w:rsid w:val="00505D7A"/>
    <w:rsid w:val="00537A15"/>
    <w:rsid w:val="005450A6"/>
    <w:rsid w:val="00561B62"/>
    <w:rsid w:val="00567368"/>
    <w:rsid w:val="00580627"/>
    <w:rsid w:val="00590003"/>
    <w:rsid w:val="00597902"/>
    <w:rsid w:val="005B58D8"/>
    <w:rsid w:val="00602CF4"/>
    <w:rsid w:val="006341DC"/>
    <w:rsid w:val="00654BF3"/>
    <w:rsid w:val="00674097"/>
    <w:rsid w:val="0069098A"/>
    <w:rsid w:val="006A56A7"/>
    <w:rsid w:val="006B7518"/>
    <w:rsid w:val="006C3C85"/>
    <w:rsid w:val="006D31A2"/>
    <w:rsid w:val="00700331"/>
    <w:rsid w:val="00713F5F"/>
    <w:rsid w:val="0073664B"/>
    <w:rsid w:val="00776973"/>
    <w:rsid w:val="007806B3"/>
    <w:rsid w:val="00784B7A"/>
    <w:rsid w:val="007E2AFD"/>
    <w:rsid w:val="00807B8F"/>
    <w:rsid w:val="008119B4"/>
    <w:rsid w:val="00811C8C"/>
    <w:rsid w:val="00817359"/>
    <w:rsid w:val="00862EA8"/>
    <w:rsid w:val="00863FCC"/>
    <w:rsid w:val="008729CF"/>
    <w:rsid w:val="008920D0"/>
    <w:rsid w:val="008B2B3D"/>
    <w:rsid w:val="008C4258"/>
    <w:rsid w:val="008F7883"/>
    <w:rsid w:val="0099216F"/>
    <w:rsid w:val="009C12BF"/>
    <w:rsid w:val="009C6FC1"/>
    <w:rsid w:val="009D3CA2"/>
    <w:rsid w:val="009E1216"/>
    <w:rsid w:val="009F5A64"/>
    <w:rsid w:val="00A20778"/>
    <w:rsid w:val="00A2558D"/>
    <w:rsid w:val="00A518DB"/>
    <w:rsid w:val="00A52EDE"/>
    <w:rsid w:val="00A77159"/>
    <w:rsid w:val="00A81014"/>
    <w:rsid w:val="00A95A8F"/>
    <w:rsid w:val="00AA1AA3"/>
    <w:rsid w:val="00AB2B1B"/>
    <w:rsid w:val="00B0135C"/>
    <w:rsid w:val="00B03D8A"/>
    <w:rsid w:val="00B06223"/>
    <w:rsid w:val="00B11E21"/>
    <w:rsid w:val="00B46D68"/>
    <w:rsid w:val="00B51E69"/>
    <w:rsid w:val="00B81645"/>
    <w:rsid w:val="00B83B8C"/>
    <w:rsid w:val="00B9135B"/>
    <w:rsid w:val="00BE3423"/>
    <w:rsid w:val="00BE34B7"/>
    <w:rsid w:val="00BE5BAE"/>
    <w:rsid w:val="00C85CDE"/>
    <w:rsid w:val="00C86DD4"/>
    <w:rsid w:val="00C96FA9"/>
    <w:rsid w:val="00C97BCD"/>
    <w:rsid w:val="00CC237A"/>
    <w:rsid w:val="00D00A47"/>
    <w:rsid w:val="00D0424E"/>
    <w:rsid w:val="00D32358"/>
    <w:rsid w:val="00D36522"/>
    <w:rsid w:val="00D457CA"/>
    <w:rsid w:val="00D5667D"/>
    <w:rsid w:val="00D66B88"/>
    <w:rsid w:val="00D731EC"/>
    <w:rsid w:val="00D74B4E"/>
    <w:rsid w:val="00DC6396"/>
    <w:rsid w:val="00DF3516"/>
    <w:rsid w:val="00E11D1E"/>
    <w:rsid w:val="00E211A3"/>
    <w:rsid w:val="00E22C80"/>
    <w:rsid w:val="00E33E02"/>
    <w:rsid w:val="00E41055"/>
    <w:rsid w:val="00E4598D"/>
    <w:rsid w:val="00E61B39"/>
    <w:rsid w:val="00E62B37"/>
    <w:rsid w:val="00E640D5"/>
    <w:rsid w:val="00E73F25"/>
    <w:rsid w:val="00E942D4"/>
    <w:rsid w:val="00EA2321"/>
    <w:rsid w:val="00EA2497"/>
    <w:rsid w:val="00EC18EA"/>
    <w:rsid w:val="00ED101C"/>
    <w:rsid w:val="00ED2411"/>
    <w:rsid w:val="00EF48B2"/>
    <w:rsid w:val="00F01022"/>
    <w:rsid w:val="00F02FA1"/>
    <w:rsid w:val="00F256B9"/>
    <w:rsid w:val="00F563E5"/>
    <w:rsid w:val="00F920B0"/>
    <w:rsid w:val="00FA295D"/>
    <w:rsid w:val="00FA47C9"/>
    <w:rsid w:val="00FA5FF9"/>
    <w:rsid w:val="00FB1B46"/>
    <w:rsid w:val="00FC7E55"/>
    <w:rsid w:val="00FD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AAF7F"/>
  <w15:chartTrackingRefBased/>
  <w15:docId w15:val="{F2D9AD8D-3FB9-4943-B128-C1B8265E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D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6D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D6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46D68"/>
    <w:pPr>
      <w:tabs>
        <w:tab w:val="center" w:pos="4680"/>
        <w:tab w:val="right" w:pos="9360"/>
      </w:tabs>
    </w:pPr>
  </w:style>
  <w:style w:type="character" w:customStyle="1" w:styleId="HeaderChar">
    <w:name w:val="Header Char"/>
    <w:basedOn w:val="DefaultParagraphFont"/>
    <w:link w:val="Header"/>
    <w:uiPriority w:val="99"/>
    <w:rsid w:val="00B46D68"/>
  </w:style>
  <w:style w:type="paragraph" w:styleId="Footer">
    <w:name w:val="footer"/>
    <w:basedOn w:val="Normal"/>
    <w:link w:val="FooterChar"/>
    <w:uiPriority w:val="99"/>
    <w:unhideWhenUsed/>
    <w:rsid w:val="00B46D68"/>
    <w:pPr>
      <w:tabs>
        <w:tab w:val="center" w:pos="4680"/>
        <w:tab w:val="right" w:pos="9360"/>
      </w:tabs>
    </w:pPr>
  </w:style>
  <w:style w:type="character" w:customStyle="1" w:styleId="FooterChar">
    <w:name w:val="Footer Char"/>
    <w:basedOn w:val="DefaultParagraphFont"/>
    <w:link w:val="Footer"/>
    <w:uiPriority w:val="99"/>
    <w:rsid w:val="00B46D68"/>
  </w:style>
  <w:style w:type="character" w:customStyle="1" w:styleId="Heading2Char">
    <w:name w:val="Heading 2 Char"/>
    <w:basedOn w:val="DefaultParagraphFont"/>
    <w:link w:val="Heading2"/>
    <w:uiPriority w:val="9"/>
    <w:rsid w:val="00B46D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46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2018-10-10T19:43:00Z</dcterms:created>
  <dcterms:modified xsi:type="dcterms:W3CDTF">2018-10-11T21:18:00Z</dcterms:modified>
</cp:coreProperties>
</file>