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5F31" w14:textId="72FD593F" w:rsidR="00F57D19" w:rsidRDefault="00000000">
      <w:pPr>
        <w:spacing w:after="0" w:line="259" w:lineRule="auto"/>
        <w:ind w:left="-5"/>
      </w:pPr>
      <w:r>
        <w:rPr>
          <w:b/>
        </w:rPr>
        <w:t xml:space="preserve">Micronutrients Across the Life Cycle </w:t>
      </w:r>
      <w:r w:rsidR="00FF0580">
        <w:rPr>
          <w:b/>
        </w:rPr>
        <w:t>– Lecture Outline</w:t>
      </w:r>
    </w:p>
    <w:p w14:paraId="20135776" w14:textId="2B9A981B" w:rsidR="00F57D19" w:rsidRDefault="00000000" w:rsidP="00FF0580">
      <w:pPr>
        <w:spacing w:after="0" w:line="259" w:lineRule="auto"/>
        <w:ind w:left="0" w:firstLine="0"/>
      </w:pPr>
      <w:r>
        <w:rPr>
          <w:b/>
        </w:rPr>
        <w:t>Dr. Jo Marie Reilly</w:t>
      </w:r>
      <w:r w:rsidR="00FF0580">
        <w:rPr>
          <w:b/>
        </w:rPr>
        <w:t>, MD, MPH</w:t>
      </w:r>
      <w:r>
        <w:rPr>
          <w:b/>
        </w:rPr>
        <w:t xml:space="preserve"> </w:t>
      </w:r>
    </w:p>
    <w:p w14:paraId="210F0E94" w14:textId="2EE7F879" w:rsidR="00F57D19" w:rsidRDefault="00000000">
      <w:pPr>
        <w:spacing w:after="0" w:line="259" w:lineRule="auto"/>
        <w:ind w:left="-5"/>
      </w:pPr>
      <w:r>
        <w:rPr>
          <w:b/>
        </w:rPr>
        <w:t>Kevin Robinson</w:t>
      </w:r>
      <w:r w:rsidR="00FF0580">
        <w:rPr>
          <w:b/>
        </w:rPr>
        <w:t>, BS</w:t>
      </w:r>
    </w:p>
    <w:p w14:paraId="59AF0CE5" w14:textId="77777777" w:rsidR="00F57D19" w:rsidRDefault="00000000">
      <w:pPr>
        <w:spacing w:after="0" w:line="259" w:lineRule="auto"/>
        <w:ind w:left="0" w:firstLine="0"/>
      </w:pPr>
      <w:r>
        <w:t xml:space="preserve"> </w:t>
      </w:r>
    </w:p>
    <w:p w14:paraId="2B8E91D2" w14:textId="77777777" w:rsidR="00F57D19" w:rsidRDefault="00000000">
      <w:pPr>
        <w:spacing w:after="0" w:line="259" w:lineRule="auto"/>
        <w:ind w:left="0" w:firstLine="0"/>
      </w:pPr>
      <w:r>
        <w:t xml:space="preserve"> </w:t>
      </w:r>
    </w:p>
    <w:p w14:paraId="177CFCF5" w14:textId="77777777" w:rsidR="00F57D19" w:rsidRDefault="00000000">
      <w:pPr>
        <w:spacing w:after="0" w:line="259" w:lineRule="auto"/>
        <w:ind w:left="0" w:firstLine="0"/>
      </w:pPr>
      <w:r>
        <w:rPr>
          <w:b/>
        </w:rPr>
        <w:t xml:space="preserve"> </w:t>
      </w:r>
    </w:p>
    <w:p w14:paraId="31010A69" w14:textId="77777777" w:rsidR="00F57D19" w:rsidRDefault="00000000">
      <w:pPr>
        <w:spacing w:after="0" w:line="259" w:lineRule="auto"/>
        <w:ind w:left="-5"/>
      </w:pPr>
      <w:r>
        <w:rPr>
          <w:b/>
          <w:u w:val="single" w:color="000000"/>
        </w:rPr>
        <w:t>Learning Objectives:</w:t>
      </w:r>
      <w:r>
        <w:rPr>
          <w:b/>
        </w:rPr>
        <w:t xml:space="preserve">   </w:t>
      </w:r>
    </w:p>
    <w:p w14:paraId="0FF93BF5" w14:textId="77777777" w:rsidR="00F57D19" w:rsidRDefault="00000000">
      <w:pPr>
        <w:spacing w:after="16" w:line="259" w:lineRule="auto"/>
        <w:ind w:left="0" w:firstLine="0"/>
      </w:pPr>
      <w:r>
        <w:t xml:space="preserve"> </w:t>
      </w:r>
    </w:p>
    <w:p w14:paraId="677DE95D" w14:textId="77777777" w:rsidR="00F57D19" w:rsidRDefault="00000000">
      <w:pPr>
        <w:numPr>
          <w:ilvl w:val="0"/>
          <w:numId w:val="1"/>
        </w:numPr>
        <w:spacing w:after="25"/>
        <w:ind w:hanging="360"/>
      </w:pPr>
      <w:r>
        <w:t xml:space="preserve">Review the foundations of vitamin and mineral metabolism, their role as coenzymes, their essential functions, toxicities, and </w:t>
      </w:r>
      <w:proofErr w:type="gramStart"/>
      <w:r>
        <w:t>deficiencies</w:t>
      </w:r>
      <w:proofErr w:type="gramEnd"/>
      <w:r>
        <w:t xml:space="preserve"> </w:t>
      </w:r>
    </w:p>
    <w:p w14:paraId="646E79F0" w14:textId="77777777" w:rsidR="00F57D19" w:rsidRDefault="00000000">
      <w:pPr>
        <w:numPr>
          <w:ilvl w:val="0"/>
          <w:numId w:val="1"/>
        </w:numPr>
        <w:spacing w:after="26"/>
        <w:ind w:hanging="360"/>
      </w:pPr>
      <w:r>
        <w:t xml:space="preserve">Describe the nutritional significance of vitamins and </w:t>
      </w:r>
      <w:proofErr w:type="gramStart"/>
      <w:r>
        <w:t>minerals</w:t>
      </w:r>
      <w:proofErr w:type="gramEnd"/>
      <w:r>
        <w:t xml:space="preserve">  </w:t>
      </w:r>
    </w:p>
    <w:p w14:paraId="7D48CE44" w14:textId="77777777" w:rsidR="00F57D19" w:rsidRDefault="00000000">
      <w:pPr>
        <w:numPr>
          <w:ilvl w:val="0"/>
          <w:numId w:val="1"/>
        </w:numPr>
        <w:ind w:hanging="360"/>
      </w:pPr>
      <w:r>
        <w:t xml:space="preserve">Identify the major food sources of vitamins and </w:t>
      </w:r>
      <w:proofErr w:type="gramStart"/>
      <w:r>
        <w:t>minerals</w:t>
      </w:r>
      <w:proofErr w:type="gramEnd"/>
      <w:r>
        <w:t xml:space="preserve">  </w:t>
      </w:r>
    </w:p>
    <w:p w14:paraId="6D1DFDFD" w14:textId="77777777" w:rsidR="00F57D19" w:rsidRDefault="00000000">
      <w:pPr>
        <w:numPr>
          <w:ilvl w:val="0"/>
          <w:numId w:val="1"/>
        </w:numPr>
        <w:spacing w:after="27"/>
        <w:ind w:hanging="360"/>
      </w:pPr>
      <w:r>
        <w:t xml:space="preserve">Discuss the major vitamin and minerals and their roles in metabolism across the </w:t>
      </w:r>
      <w:proofErr w:type="gramStart"/>
      <w:r>
        <w:t>lifecycle</w:t>
      </w:r>
      <w:proofErr w:type="gramEnd"/>
      <w:r>
        <w:t xml:space="preserve"> </w:t>
      </w:r>
    </w:p>
    <w:p w14:paraId="32A5B358" w14:textId="77777777" w:rsidR="00F57D19" w:rsidRDefault="00000000">
      <w:pPr>
        <w:numPr>
          <w:ilvl w:val="0"/>
          <w:numId w:val="1"/>
        </w:numPr>
        <w:ind w:hanging="360"/>
      </w:pPr>
      <w:r>
        <w:t xml:space="preserve">Review the need for micronutrient supplementation in special </w:t>
      </w:r>
      <w:proofErr w:type="gramStart"/>
      <w:r>
        <w:t>populations</w:t>
      </w:r>
      <w:proofErr w:type="gramEnd"/>
      <w:r>
        <w:t xml:space="preserve">  </w:t>
      </w:r>
    </w:p>
    <w:p w14:paraId="19DE081E" w14:textId="77777777" w:rsidR="00F57D19" w:rsidRDefault="00000000">
      <w:pPr>
        <w:spacing w:after="0" w:line="259" w:lineRule="auto"/>
        <w:ind w:left="0" w:firstLine="0"/>
      </w:pPr>
      <w:r>
        <w:rPr>
          <w:b/>
        </w:rPr>
        <w:t xml:space="preserve"> </w:t>
      </w:r>
    </w:p>
    <w:p w14:paraId="75EA35DF" w14:textId="77777777" w:rsidR="00F57D19" w:rsidRDefault="00000000">
      <w:pPr>
        <w:spacing w:after="94" w:line="259" w:lineRule="auto"/>
        <w:ind w:left="0" w:firstLine="0"/>
      </w:pPr>
      <w:r>
        <w:rPr>
          <w:b/>
        </w:rPr>
        <w:t xml:space="preserve"> </w:t>
      </w:r>
    </w:p>
    <w:p w14:paraId="35219716" w14:textId="77777777" w:rsidR="00F57D19" w:rsidRDefault="00000000">
      <w:pPr>
        <w:spacing w:after="0" w:line="259" w:lineRule="auto"/>
        <w:ind w:left="0" w:firstLine="0"/>
      </w:pPr>
      <w:r>
        <w:rPr>
          <w:b/>
          <w:sz w:val="36"/>
        </w:rPr>
        <w:t xml:space="preserve"> </w:t>
      </w:r>
    </w:p>
    <w:p w14:paraId="64ADF032" w14:textId="77777777" w:rsidR="00F57D19" w:rsidRDefault="00000000">
      <w:pPr>
        <w:spacing w:after="0" w:line="259" w:lineRule="auto"/>
        <w:ind w:left="-5"/>
      </w:pPr>
      <w:r>
        <w:rPr>
          <w:b/>
          <w:sz w:val="36"/>
          <w:u w:val="single" w:color="000000"/>
        </w:rPr>
        <w:t>Fundamentals: Vitamins and Minerals</w:t>
      </w:r>
      <w:r>
        <w:rPr>
          <w:b/>
          <w:sz w:val="36"/>
        </w:rPr>
        <w:t xml:space="preserve"> </w:t>
      </w:r>
    </w:p>
    <w:p w14:paraId="7FE499C2" w14:textId="77777777" w:rsidR="00F57D19" w:rsidRDefault="00000000">
      <w:pPr>
        <w:ind w:left="-5"/>
      </w:pPr>
      <w:r>
        <w:t xml:space="preserve">Micronutrients is a classification of compounds that includes vitamins and minerals. They are distinct from macronutrients (fats, proteins, and carbohydrates). Micronutrients have countless important roles in the body; one primary function is to serve as coenzymes/cofactors in macronutrient metabolism. Although they can be found in dietary supplements, </w:t>
      </w:r>
      <w:r>
        <w:rPr>
          <w:b/>
          <w:color w:val="4472C4"/>
          <w:u w:val="single" w:color="4472C4"/>
        </w:rPr>
        <w:t>the</w:t>
      </w:r>
      <w:r>
        <w:rPr>
          <w:b/>
          <w:color w:val="4472C4"/>
        </w:rPr>
        <w:t xml:space="preserve"> </w:t>
      </w:r>
      <w:r>
        <w:rPr>
          <w:b/>
          <w:color w:val="4472C4"/>
          <w:u w:val="single" w:color="4472C4"/>
        </w:rPr>
        <w:t>primary/preferred source is food</w:t>
      </w:r>
      <w:r>
        <w:t xml:space="preserve">. Our body only needs them in trace amounts, but they are essential for normal body function. Our bodies </w:t>
      </w:r>
      <w:r>
        <w:rPr>
          <w:u w:val="single" w:color="000000"/>
        </w:rPr>
        <w:t>cannot</w:t>
      </w:r>
      <w:r>
        <w:t xml:space="preserve"> synthesize these nutrients on our own, with 3 notable exceptions (don’t memorize):  </w:t>
      </w:r>
    </w:p>
    <w:p w14:paraId="7FEBA162" w14:textId="77777777" w:rsidR="00F57D19" w:rsidRDefault="00000000">
      <w:pPr>
        <w:spacing w:after="0" w:line="259" w:lineRule="auto"/>
        <w:ind w:left="0" w:firstLine="0"/>
      </w:pPr>
      <w:r>
        <w:t xml:space="preserve"> </w:t>
      </w:r>
      <w:r>
        <w:tab/>
        <w:t xml:space="preserve"> </w:t>
      </w:r>
    </w:p>
    <w:p w14:paraId="0D9B1AD3" w14:textId="77777777" w:rsidR="00F57D19" w:rsidRDefault="00000000">
      <w:pPr>
        <w:numPr>
          <w:ilvl w:val="1"/>
          <w:numId w:val="1"/>
        </w:numPr>
        <w:ind w:hanging="235"/>
      </w:pPr>
      <w:r>
        <w:t xml:space="preserve">Vitamin D (sunlight) </w:t>
      </w:r>
    </w:p>
    <w:p w14:paraId="1260CBA0" w14:textId="77777777" w:rsidR="00F57D19" w:rsidRDefault="00000000">
      <w:pPr>
        <w:numPr>
          <w:ilvl w:val="1"/>
          <w:numId w:val="1"/>
        </w:numPr>
        <w:ind w:hanging="235"/>
      </w:pPr>
      <w:r>
        <w:t xml:space="preserve">Vitamin K (gut bacteria) </w:t>
      </w:r>
    </w:p>
    <w:p w14:paraId="26706ABB" w14:textId="77777777" w:rsidR="00F57D19" w:rsidRDefault="00000000">
      <w:pPr>
        <w:numPr>
          <w:ilvl w:val="1"/>
          <w:numId w:val="1"/>
        </w:numPr>
        <w:ind w:hanging="235"/>
      </w:pPr>
      <w:r>
        <w:t xml:space="preserve">Niacin (from tryptophan) </w:t>
      </w:r>
    </w:p>
    <w:p w14:paraId="41BB44DA" w14:textId="77777777" w:rsidR="00F57D19" w:rsidRDefault="00000000">
      <w:pPr>
        <w:spacing w:after="0" w:line="259" w:lineRule="auto"/>
        <w:ind w:left="0" w:firstLine="0"/>
      </w:pPr>
      <w:r>
        <w:rPr>
          <w:b/>
          <w:color w:val="4472C4"/>
        </w:rPr>
        <w:t xml:space="preserve"> </w:t>
      </w:r>
    </w:p>
    <w:p w14:paraId="484D2C85" w14:textId="77777777" w:rsidR="00F57D19" w:rsidRDefault="00000000">
      <w:pPr>
        <w:ind w:left="-5"/>
      </w:pPr>
      <w:r>
        <w:t xml:space="preserve">Micronutrient functions are complex and interrelated; therefore, signs and symptoms of vitamin deficiencies may be similar.  </w:t>
      </w:r>
    </w:p>
    <w:p w14:paraId="53B1D58A" w14:textId="77777777" w:rsidR="00F57D19" w:rsidRDefault="00000000">
      <w:pPr>
        <w:spacing w:after="0" w:line="259" w:lineRule="auto"/>
        <w:ind w:left="0" w:firstLine="0"/>
      </w:pPr>
      <w:r>
        <w:rPr>
          <w:b/>
        </w:rPr>
        <w:t xml:space="preserve"> </w:t>
      </w:r>
    </w:p>
    <w:p w14:paraId="6859E633" w14:textId="77777777" w:rsidR="00F57D19" w:rsidRDefault="00000000">
      <w:pPr>
        <w:spacing w:after="0" w:line="259" w:lineRule="auto"/>
        <w:ind w:left="0" w:firstLine="0"/>
      </w:pPr>
      <w:r>
        <w:rPr>
          <w:b/>
        </w:rPr>
        <w:t xml:space="preserve"> </w:t>
      </w:r>
    </w:p>
    <w:p w14:paraId="5BE10EEA" w14:textId="77777777" w:rsidR="00F57D19" w:rsidRDefault="00000000">
      <w:pPr>
        <w:spacing w:after="0" w:line="259" w:lineRule="auto"/>
        <w:ind w:left="0" w:firstLine="0"/>
      </w:pPr>
      <w:r>
        <w:rPr>
          <w:b/>
        </w:rPr>
        <w:t xml:space="preserve"> </w:t>
      </w:r>
    </w:p>
    <w:p w14:paraId="6405FF6C" w14:textId="77777777" w:rsidR="00F57D19" w:rsidRDefault="00000000">
      <w:pPr>
        <w:spacing w:after="0" w:line="259" w:lineRule="auto"/>
        <w:ind w:left="-5"/>
      </w:pPr>
      <w:r>
        <w:rPr>
          <w:b/>
          <w:u w:val="single" w:color="000000"/>
        </w:rPr>
        <w:t>Classification:</w:t>
      </w:r>
      <w:r>
        <w:rPr>
          <w:b/>
        </w:rPr>
        <w:t xml:space="preserve"> </w:t>
      </w:r>
    </w:p>
    <w:p w14:paraId="5524B8F6" w14:textId="77777777" w:rsidR="00F57D19" w:rsidRDefault="00000000">
      <w:pPr>
        <w:ind w:left="-5"/>
      </w:pPr>
      <w:r>
        <w:t xml:space="preserve">There are </w:t>
      </w:r>
      <w:r>
        <w:rPr>
          <w:b/>
          <w:u w:val="single" w:color="000000"/>
        </w:rPr>
        <w:t xml:space="preserve">13 essential vitamins </w:t>
      </w:r>
      <w:r>
        <w:t>that are</w:t>
      </w:r>
      <w:r>
        <w:rPr>
          <w:b/>
          <w:u w:val="single" w:color="4472C4"/>
        </w:rPr>
        <w:t xml:space="preserve"> </w:t>
      </w:r>
      <w:r>
        <w:rPr>
          <w:b/>
          <w:color w:val="4472C4"/>
          <w:u w:val="single" w:color="4472C4"/>
        </w:rPr>
        <w:t>classified based on their solubility in water or fat.</w:t>
      </w:r>
      <w:r>
        <w:rPr>
          <w:b/>
          <w:color w:val="4472C4"/>
        </w:rPr>
        <w:t xml:space="preserve"> </w:t>
      </w:r>
      <w:r>
        <w:rPr>
          <w:b/>
          <w:color w:val="4472C4"/>
          <w:u w:val="single" w:color="4472C4"/>
        </w:rPr>
        <w:t xml:space="preserve">Minerals are classified based on their dietary requirement. </w:t>
      </w:r>
      <w:r>
        <w:t xml:space="preserve">Macro-minerals are needed in amounts greater than 100mg/day, and micro-minerals (trace minerals) are needed in amounts less than 100mg/day: </w:t>
      </w:r>
      <w:r>
        <w:rPr>
          <w:i/>
        </w:rPr>
        <w:t xml:space="preserve">(do not memorize these lists, just know </w:t>
      </w:r>
      <w:r>
        <w:rPr>
          <w:i/>
          <w:u w:val="single" w:color="000000"/>
        </w:rPr>
        <w:t>how</w:t>
      </w:r>
      <w:r>
        <w:rPr>
          <w:i/>
        </w:rPr>
        <w:t xml:space="preserve"> they are classified)</w:t>
      </w:r>
      <w:r>
        <w:t xml:space="preserve"> </w:t>
      </w:r>
    </w:p>
    <w:p w14:paraId="7CD89054" w14:textId="77777777" w:rsidR="00F57D19" w:rsidRDefault="00000000">
      <w:pPr>
        <w:spacing w:after="0" w:line="259" w:lineRule="auto"/>
        <w:ind w:left="0" w:firstLine="0"/>
      </w:pPr>
      <w:r>
        <w:t xml:space="preserve"> </w:t>
      </w:r>
    </w:p>
    <w:p w14:paraId="1B25D3FD" w14:textId="77777777" w:rsidR="00F57D19" w:rsidRDefault="00000000">
      <w:pPr>
        <w:spacing w:after="0" w:line="259" w:lineRule="auto"/>
        <w:ind w:left="0" w:firstLine="0"/>
      </w:pPr>
      <w:r>
        <w:rPr>
          <w:b/>
        </w:rPr>
        <w:lastRenderedPageBreak/>
        <w:t xml:space="preserve"> </w:t>
      </w:r>
    </w:p>
    <w:tbl>
      <w:tblPr>
        <w:tblStyle w:val="TableGrid"/>
        <w:tblW w:w="9489" w:type="dxa"/>
        <w:tblInd w:w="-108" w:type="dxa"/>
        <w:tblLook w:val="04A0" w:firstRow="1" w:lastRow="0" w:firstColumn="1" w:lastColumn="0" w:noHBand="0" w:noVBand="1"/>
      </w:tblPr>
      <w:tblGrid>
        <w:gridCol w:w="3782"/>
        <w:gridCol w:w="10823"/>
      </w:tblGrid>
      <w:tr w:rsidR="00F57D19" w14:paraId="05CCD06C" w14:textId="77777777">
        <w:trPr>
          <w:trHeight w:val="3911"/>
        </w:trPr>
        <w:tc>
          <w:tcPr>
            <w:tcW w:w="4242" w:type="dxa"/>
            <w:tcBorders>
              <w:top w:val="nil"/>
              <w:left w:val="nil"/>
              <w:bottom w:val="nil"/>
              <w:right w:val="nil"/>
            </w:tcBorders>
          </w:tcPr>
          <w:p w14:paraId="154252ED" w14:textId="77777777" w:rsidR="00F57D19" w:rsidRDefault="00F57D19">
            <w:pPr>
              <w:spacing w:after="0" w:line="259" w:lineRule="auto"/>
              <w:ind w:left="-1333" w:right="480" w:firstLine="0"/>
            </w:pPr>
          </w:p>
          <w:tbl>
            <w:tblPr>
              <w:tblStyle w:val="TableGrid"/>
              <w:tblW w:w="3762" w:type="dxa"/>
              <w:tblInd w:w="0" w:type="dxa"/>
              <w:tblCellMar>
                <w:top w:w="55" w:type="dxa"/>
                <w:left w:w="108" w:type="dxa"/>
                <w:right w:w="115" w:type="dxa"/>
              </w:tblCellMar>
              <w:tblLook w:val="04A0" w:firstRow="1" w:lastRow="0" w:firstColumn="1" w:lastColumn="0" w:noHBand="0" w:noVBand="1"/>
            </w:tblPr>
            <w:tblGrid>
              <w:gridCol w:w="2244"/>
              <w:gridCol w:w="1518"/>
            </w:tblGrid>
            <w:tr w:rsidR="00F57D19" w14:paraId="0753B0E0" w14:textId="77777777">
              <w:trPr>
                <w:trHeight w:val="348"/>
              </w:trPr>
              <w:tc>
                <w:tcPr>
                  <w:tcW w:w="2244" w:type="dxa"/>
                  <w:tcBorders>
                    <w:top w:val="single" w:sz="8" w:space="0" w:color="FFFFFF"/>
                    <w:left w:val="single" w:sz="8" w:space="0" w:color="FFFFFF"/>
                    <w:bottom w:val="single" w:sz="32" w:space="0" w:color="FFFFFF"/>
                    <w:right w:val="single" w:sz="8" w:space="0" w:color="FFFFFF"/>
                  </w:tcBorders>
                  <w:shd w:val="clear" w:color="auto" w:fill="355BB7"/>
                </w:tcPr>
                <w:p w14:paraId="2C74028D" w14:textId="77777777" w:rsidR="00F57D19" w:rsidRDefault="00000000">
                  <w:pPr>
                    <w:spacing w:after="0" w:line="259" w:lineRule="auto"/>
                    <w:ind w:left="0" w:firstLine="0"/>
                  </w:pPr>
                  <w:r>
                    <w:rPr>
                      <w:b/>
                      <w:color w:val="FFFFFF"/>
                    </w:rPr>
                    <w:t>Water Soluble</w:t>
                  </w:r>
                  <w:r>
                    <w:t xml:space="preserve"> </w:t>
                  </w:r>
                </w:p>
              </w:tc>
              <w:tc>
                <w:tcPr>
                  <w:tcW w:w="1518" w:type="dxa"/>
                  <w:tcBorders>
                    <w:top w:val="single" w:sz="8" w:space="0" w:color="FFFFFF"/>
                    <w:left w:val="single" w:sz="8" w:space="0" w:color="FFFFFF"/>
                    <w:bottom w:val="single" w:sz="32" w:space="0" w:color="FFFFFF"/>
                    <w:right w:val="single" w:sz="8" w:space="0" w:color="FFFFFF"/>
                  </w:tcBorders>
                  <w:shd w:val="clear" w:color="auto" w:fill="355BB7"/>
                </w:tcPr>
                <w:p w14:paraId="79929464" w14:textId="77777777" w:rsidR="00F57D19" w:rsidRDefault="00000000">
                  <w:pPr>
                    <w:spacing w:after="0" w:line="259" w:lineRule="auto"/>
                    <w:ind w:left="3" w:firstLine="0"/>
                  </w:pPr>
                  <w:r>
                    <w:rPr>
                      <w:b/>
                      <w:color w:val="FFFFFF"/>
                    </w:rPr>
                    <w:t>Fat Soluble</w:t>
                  </w:r>
                  <w:r>
                    <w:t xml:space="preserve"> </w:t>
                  </w:r>
                </w:p>
              </w:tc>
            </w:tr>
            <w:tr w:rsidR="00F57D19" w14:paraId="249197A9" w14:textId="77777777">
              <w:trPr>
                <w:trHeight w:val="360"/>
              </w:trPr>
              <w:tc>
                <w:tcPr>
                  <w:tcW w:w="2244" w:type="dxa"/>
                  <w:tcBorders>
                    <w:top w:val="single" w:sz="32" w:space="0" w:color="FFFFFF"/>
                    <w:left w:val="single" w:sz="8" w:space="0" w:color="FFFFFF"/>
                    <w:bottom w:val="single" w:sz="8" w:space="0" w:color="FFFFFF"/>
                    <w:right w:val="single" w:sz="8" w:space="0" w:color="FFFFFF"/>
                  </w:tcBorders>
                  <w:shd w:val="clear" w:color="auto" w:fill="C4CBE5"/>
                </w:tcPr>
                <w:p w14:paraId="30B52E42" w14:textId="77777777" w:rsidR="00F57D19" w:rsidRDefault="00000000">
                  <w:pPr>
                    <w:spacing w:after="0" w:line="259" w:lineRule="auto"/>
                    <w:ind w:left="0" w:firstLine="0"/>
                  </w:pPr>
                  <w:r>
                    <w:t xml:space="preserve">Thiamine (B1) </w:t>
                  </w:r>
                </w:p>
              </w:tc>
              <w:tc>
                <w:tcPr>
                  <w:tcW w:w="1518" w:type="dxa"/>
                  <w:tcBorders>
                    <w:top w:val="single" w:sz="32" w:space="0" w:color="FFFFFF"/>
                    <w:left w:val="single" w:sz="8" w:space="0" w:color="FFFFFF"/>
                    <w:bottom w:val="single" w:sz="8" w:space="0" w:color="FFFFFF"/>
                    <w:right w:val="single" w:sz="8" w:space="0" w:color="FFFFFF"/>
                  </w:tcBorders>
                  <w:shd w:val="clear" w:color="auto" w:fill="C4CBE5"/>
                </w:tcPr>
                <w:p w14:paraId="31BC6C40" w14:textId="77777777" w:rsidR="00F57D19" w:rsidRDefault="00000000">
                  <w:pPr>
                    <w:spacing w:after="0" w:line="259" w:lineRule="auto"/>
                    <w:ind w:left="3" w:firstLine="0"/>
                  </w:pPr>
                  <w:r>
                    <w:t xml:space="preserve">Vitamin A </w:t>
                  </w:r>
                </w:p>
              </w:tc>
            </w:tr>
            <w:tr w:rsidR="00F57D19" w14:paraId="6AF2FB0F" w14:textId="77777777">
              <w:trPr>
                <w:trHeight w:val="335"/>
              </w:trPr>
              <w:tc>
                <w:tcPr>
                  <w:tcW w:w="2244" w:type="dxa"/>
                  <w:tcBorders>
                    <w:top w:val="single" w:sz="8" w:space="0" w:color="FFFFFF"/>
                    <w:left w:val="single" w:sz="8" w:space="0" w:color="FFFFFF"/>
                    <w:bottom w:val="single" w:sz="8" w:space="0" w:color="FFFFFF"/>
                    <w:right w:val="single" w:sz="8" w:space="0" w:color="FFFFFF"/>
                  </w:tcBorders>
                  <w:shd w:val="clear" w:color="auto" w:fill="E4E6F2"/>
                </w:tcPr>
                <w:p w14:paraId="00740205" w14:textId="77777777" w:rsidR="00F57D19" w:rsidRDefault="00000000">
                  <w:pPr>
                    <w:spacing w:after="0" w:line="259" w:lineRule="auto"/>
                    <w:ind w:left="0" w:firstLine="0"/>
                  </w:pPr>
                  <w:r>
                    <w:t xml:space="preserve">Riboflavin (B2) </w:t>
                  </w:r>
                </w:p>
              </w:tc>
              <w:tc>
                <w:tcPr>
                  <w:tcW w:w="1518" w:type="dxa"/>
                  <w:tcBorders>
                    <w:top w:val="single" w:sz="8" w:space="0" w:color="FFFFFF"/>
                    <w:left w:val="single" w:sz="8" w:space="0" w:color="FFFFFF"/>
                    <w:bottom w:val="single" w:sz="8" w:space="0" w:color="FFFFFF"/>
                    <w:right w:val="single" w:sz="8" w:space="0" w:color="FFFFFF"/>
                  </w:tcBorders>
                  <w:shd w:val="clear" w:color="auto" w:fill="E4E6F2"/>
                </w:tcPr>
                <w:p w14:paraId="7D7E2233" w14:textId="77777777" w:rsidR="00F57D19" w:rsidRDefault="00000000">
                  <w:pPr>
                    <w:spacing w:after="0" w:line="259" w:lineRule="auto"/>
                    <w:ind w:left="3" w:firstLine="0"/>
                  </w:pPr>
                  <w:r>
                    <w:t xml:space="preserve">Vitamin D </w:t>
                  </w:r>
                </w:p>
              </w:tc>
            </w:tr>
            <w:tr w:rsidR="00F57D19" w14:paraId="30D2865A" w14:textId="77777777">
              <w:trPr>
                <w:trHeight w:val="320"/>
              </w:trPr>
              <w:tc>
                <w:tcPr>
                  <w:tcW w:w="2244" w:type="dxa"/>
                  <w:tcBorders>
                    <w:top w:val="single" w:sz="8" w:space="0" w:color="FFFFFF"/>
                    <w:left w:val="single" w:sz="8" w:space="0" w:color="FFFFFF"/>
                    <w:bottom w:val="single" w:sz="8" w:space="0" w:color="FFFFFF"/>
                    <w:right w:val="single" w:sz="8" w:space="0" w:color="FFFFFF"/>
                  </w:tcBorders>
                  <w:shd w:val="clear" w:color="auto" w:fill="C4CBE5"/>
                </w:tcPr>
                <w:p w14:paraId="06964F7C" w14:textId="77777777" w:rsidR="00F57D19" w:rsidRDefault="00000000">
                  <w:pPr>
                    <w:spacing w:after="0" w:line="259" w:lineRule="auto"/>
                    <w:ind w:left="0" w:firstLine="0"/>
                  </w:pPr>
                  <w:r>
                    <w:t xml:space="preserve">Niacin (B3) </w:t>
                  </w:r>
                </w:p>
              </w:tc>
              <w:tc>
                <w:tcPr>
                  <w:tcW w:w="1518" w:type="dxa"/>
                  <w:tcBorders>
                    <w:top w:val="single" w:sz="8" w:space="0" w:color="FFFFFF"/>
                    <w:left w:val="single" w:sz="8" w:space="0" w:color="FFFFFF"/>
                    <w:bottom w:val="single" w:sz="8" w:space="0" w:color="FFFFFF"/>
                    <w:right w:val="single" w:sz="8" w:space="0" w:color="FFFFFF"/>
                  </w:tcBorders>
                  <w:shd w:val="clear" w:color="auto" w:fill="C4CBE5"/>
                </w:tcPr>
                <w:p w14:paraId="4F740437" w14:textId="77777777" w:rsidR="00F57D19" w:rsidRDefault="00000000">
                  <w:pPr>
                    <w:spacing w:after="0" w:line="259" w:lineRule="auto"/>
                    <w:ind w:left="3" w:firstLine="0"/>
                  </w:pPr>
                  <w:r>
                    <w:t xml:space="preserve">Vitamin E </w:t>
                  </w:r>
                </w:p>
              </w:tc>
            </w:tr>
            <w:tr w:rsidR="00F57D19" w14:paraId="6CD927E6" w14:textId="77777777">
              <w:trPr>
                <w:trHeight w:val="605"/>
              </w:trPr>
              <w:tc>
                <w:tcPr>
                  <w:tcW w:w="2244" w:type="dxa"/>
                  <w:tcBorders>
                    <w:top w:val="single" w:sz="8" w:space="0" w:color="FFFFFF"/>
                    <w:left w:val="single" w:sz="8" w:space="0" w:color="FFFFFF"/>
                    <w:bottom w:val="single" w:sz="8" w:space="0" w:color="FFFFFF"/>
                    <w:right w:val="single" w:sz="8" w:space="0" w:color="FFFFFF"/>
                  </w:tcBorders>
                  <w:shd w:val="clear" w:color="auto" w:fill="E4E6F2"/>
                </w:tcPr>
                <w:p w14:paraId="1778F268" w14:textId="77777777" w:rsidR="00F57D19" w:rsidRDefault="00000000">
                  <w:pPr>
                    <w:spacing w:after="0" w:line="259" w:lineRule="auto"/>
                    <w:ind w:left="0" w:firstLine="0"/>
                  </w:pPr>
                  <w:r>
                    <w:t xml:space="preserve">Pantothenic Acid (B5) </w:t>
                  </w:r>
                </w:p>
              </w:tc>
              <w:tc>
                <w:tcPr>
                  <w:tcW w:w="1518" w:type="dxa"/>
                  <w:tcBorders>
                    <w:top w:val="single" w:sz="8" w:space="0" w:color="FFFFFF"/>
                    <w:left w:val="single" w:sz="8" w:space="0" w:color="FFFFFF"/>
                    <w:bottom w:val="single" w:sz="8" w:space="0" w:color="FFFFFF"/>
                    <w:right w:val="single" w:sz="8" w:space="0" w:color="FFFFFF"/>
                  </w:tcBorders>
                  <w:shd w:val="clear" w:color="auto" w:fill="E4E6F2"/>
                </w:tcPr>
                <w:p w14:paraId="15F82CBE" w14:textId="77777777" w:rsidR="00F57D19" w:rsidRDefault="00000000">
                  <w:pPr>
                    <w:spacing w:after="0" w:line="259" w:lineRule="auto"/>
                    <w:ind w:left="3" w:firstLine="0"/>
                  </w:pPr>
                  <w:r>
                    <w:t xml:space="preserve">Vitamin K </w:t>
                  </w:r>
                </w:p>
              </w:tc>
            </w:tr>
            <w:tr w:rsidR="00F57D19" w14:paraId="65324438" w14:textId="77777777">
              <w:trPr>
                <w:trHeight w:val="320"/>
              </w:trPr>
              <w:tc>
                <w:tcPr>
                  <w:tcW w:w="2244" w:type="dxa"/>
                  <w:tcBorders>
                    <w:top w:val="single" w:sz="8" w:space="0" w:color="FFFFFF"/>
                    <w:left w:val="single" w:sz="8" w:space="0" w:color="FFFFFF"/>
                    <w:bottom w:val="single" w:sz="8" w:space="0" w:color="FFFFFF"/>
                    <w:right w:val="single" w:sz="8" w:space="0" w:color="FFFFFF"/>
                  </w:tcBorders>
                  <w:shd w:val="clear" w:color="auto" w:fill="C4CBE5"/>
                </w:tcPr>
                <w:p w14:paraId="61DC8934" w14:textId="77777777" w:rsidR="00F57D19" w:rsidRDefault="00000000">
                  <w:pPr>
                    <w:spacing w:after="0" w:line="259" w:lineRule="auto"/>
                    <w:ind w:left="0" w:firstLine="0"/>
                  </w:pPr>
                  <w:r>
                    <w:t xml:space="preserve">Pyridoxine (B6) </w:t>
                  </w:r>
                </w:p>
              </w:tc>
              <w:tc>
                <w:tcPr>
                  <w:tcW w:w="1518" w:type="dxa"/>
                  <w:tcBorders>
                    <w:top w:val="single" w:sz="8" w:space="0" w:color="FFFFFF"/>
                    <w:left w:val="single" w:sz="8" w:space="0" w:color="FFFFFF"/>
                    <w:bottom w:val="single" w:sz="8" w:space="0" w:color="FFFFFF"/>
                    <w:right w:val="single" w:sz="8" w:space="0" w:color="FFFFFF"/>
                  </w:tcBorders>
                  <w:shd w:val="clear" w:color="auto" w:fill="C4CBE5"/>
                </w:tcPr>
                <w:p w14:paraId="64888A65" w14:textId="77777777" w:rsidR="00F57D19" w:rsidRDefault="00000000">
                  <w:pPr>
                    <w:spacing w:after="0" w:line="259" w:lineRule="auto"/>
                    <w:ind w:left="3" w:firstLine="0"/>
                  </w:pPr>
                  <w:r>
                    <w:t xml:space="preserve"> </w:t>
                  </w:r>
                </w:p>
              </w:tc>
            </w:tr>
            <w:tr w:rsidR="00F57D19" w14:paraId="7D0BAA3F" w14:textId="77777777">
              <w:trPr>
                <w:trHeight w:val="331"/>
              </w:trPr>
              <w:tc>
                <w:tcPr>
                  <w:tcW w:w="2244" w:type="dxa"/>
                  <w:tcBorders>
                    <w:top w:val="single" w:sz="8" w:space="0" w:color="FFFFFF"/>
                    <w:left w:val="single" w:sz="8" w:space="0" w:color="FFFFFF"/>
                    <w:bottom w:val="single" w:sz="8" w:space="0" w:color="FFFFFF"/>
                    <w:right w:val="single" w:sz="8" w:space="0" w:color="FFFFFF"/>
                  </w:tcBorders>
                  <w:shd w:val="clear" w:color="auto" w:fill="E4E6F2"/>
                </w:tcPr>
                <w:p w14:paraId="546FF807" w14:textId="77777777" w:rsidR="00F57D19" w:rsidRDefault="00000000">
                  <w:pPr>
                    <w:spacing w:after="0" w:line="259" w:lineRule="auto"/>
                    <w:ind w:left="0" w:firstLine="0"/>
                  </w:pPr>
                  <w:r>
                    <w:t xml:space="preserve">Biotin (B7) </w:t>
                  </w:r>
                </w:p>
              </w:tc>
              <w:tc>
                <w:tcPr>
                  <w:tcW w:w="1518" w:type="dxa"/>
                  <w:tcBorders>
                    <w:top w:val="single" w:sz="8" w:space="0" w:color="FFFFFF"/>
                    <w:left w:val="single" w:sz="8" w:space="0" w:color="FFFFFF"/>
                    <w:bottom w:val="single" w:sz="8" w:space="0" w:color="FFFFFF"/>
                    <w:right w:val="single" w:sz="8" w:space="0" w:color="FFFFFF"/>
                  </w:tcBorders>
                  <w:shd w:val="clear" w:color="auto" w:fill="E4E6F2"/>
                </w:tcPr>
                <w:p w14:paraId="668AFCA8" w14:textId="77777777" w:rsidR="00F57D19" w:rsidRDefault="00000000">
                  <w:pPr>
                    <w:spacing w:after="0" w:line="259" w:lineRule="auto"/>
                    <w:ind w:left="3" w:firstLine="0"/>
                  </w:pPr>
                  <w:r>
                    <w:t xml:space="preserve"> </w:t>
                  </w:r>
                </w:p>
              </w:tc>
            </w:tr>
            <w:tr w:rsidR="00F57D19" w14:paraId="58F9D0F5" w14:textId="77777777">
              <w:trPr>
                <w:trHeight w:val="610"/>
              </w:trPr>
              <w:tc>
                <w:tcPr>
                  <w:tcW w:w="2244" w:type="dxa"/>
                  <w:tcBorders>
                    <w:top w:val="single" w:sz="8" w:space="0" w:color="FFFFFF"/>
                    <w:left w:val="single" w:sz="8" w:space="0" w:color="FFFFFF"/>
                    <w:bottom w:val="single" w:sz="8" w:space="0" w:color="FFFFFF"/>
                    <w:right w:val="single" w:sz="8" w:space="0" w:color="FFFFFF"/>
                  </w:tcBorders>
                  <w:shd w:val="clear" w:color="auto" w:fill="C4CBE5"/>
                </w:tcPr>
                <w:p w14:paraId="438F1E56" w14:textId="77777777" w:rsidR="00F57D19" w:rsidRDefault="00000000">
                  <w:pPr>
                    <w:spacing w:after="0" w:line="259" w:lineRule="auto"/>
                    <w:ind w:left="0" w:firstLine="0"/>
                  </w:pPr>
                  <w:r>
                    <w:t xml:space="preserve">Folate/Folic Acid (B9) </w:t>
                  </w:r>
                </w:p>
              </w:tc>
              <w:tc>
                <w:tcPr>
                  <w:tcW w:w="1518" w:type="dxa"/>
                  <w:tcBorders>
                    <w:top w:val="single" w:sz="8" w:space="0" w:color="FFFFFF"/>
                    <w:left w:val="single" w:sz="8" w:space="0" w:color="FFFFFF"/>
                    <w:bottom w:val="single" w:sz="8" w:space="0" w:color="FFFFFF"/>
                    <w:right w:val="single" w:sz="8" w:space="0" w:color="FFFFFF"/>
                  </w:tcBorders>
                  <w:shd w:val="clear" w:color="auto" w:fill="C4CBE5"/>
                </w:tcPr>
                <w:p w14:paraId="648B8F00" w14:textId="77777777" w:rsidR="00F57D19" w:rsidRDefault="00000000">
                  <w:pPr>
                    <w:spacing w:after="0" w:line="259" w:lineRule="auto"/>
                    <w:ind w:left="3" w:firstLine="0"/>
                  </w:pPr>
                  <w:r>
                    <w:t xml:space="preserve"> </w:t>
                  </w:r>
                </w:p>
              </w:tc>
            </w:tr>
            <w:tr w:rsidR="00F57D19" w14:paraId="59B06EF4" w14:textId="77777777">
              <w:trPr>
                <w:trHeight w:val="330"/>
              </w:trPr>
              <w:tc>
                <w:tcPr>
                  <w:tcW w:w="2244" w:type="dxa"/>
                  <w:tcBorders>
                    <w:top w:val="single" w:sz="8" w:space="0" w:color="FFFFFF"/>
                    <w:left w:val="single" w:sz="8" w:space="0" w:color="FFFFFF"/>
                    <w:bottom w:val="single" w:sz="8" w:space="0" w:color="FFFFFF"/>
                    <w:right w:val="single" w:sz="8" w:space="0" w:color="FFFFFF"/>
                  </w:tcBorders>
                  <w:shd w:val="clear" w:color="auto" w:fill="E4E6F2"/>
                </w:tcPr>
                <w:p w14:paraId="02D23EAB" w14:textId="77777777" w:rsidR="00F57D19" w:rsidRDefault="00000000">
                  <w:pPr>
                    <w:spacing w:after="0" w:line="259" w:lineRule="auto"/>
                    <w:ind w:left="0" w:firstLine="0"/>
                  </w:pPr>
                  <w:r>
                    <w:t xml:space="preserve">Cobalamin (B12) </w:t>
                  </w:r>
                </w:p>
              </w:tc>
              <w:tc>
                <w:tcPr>
                  <w:tcW w:w="1518" w:type="dxa"/>
                  <w:tcBorders>
                    <w:top w:val="single" w:sz="8" w:space="0" w:color="FFFFFF"/>
                    <w:left w:val="single" w:sz="8" w:space="0" w:color="FFFFFF"/>
                    <w:bottom w:val="single" w:sz="8" w:space="0" w:color="FFFFFF"/>
                    <w:right w:val="single" w:sz="8" w:space="0" w:color="FFFFFF"/>
                  </w:tcBorders>
                  <w:shd w:val="clear" w:color="auto" w:fill="E4E6F2"/>
                </w:tcPr>
                <w:p w14:paraId="56BADCAB" w14:textId="77777777" w:rsidR="00F57D19" w:rsidRDefault="00000000">
                  <w:pPr>
                    <w:spacing w:after="0" w:line="259" w:lineRule="auto"/>
                    <w:ind w:left="3" w:firstLine="0"/>
                  </w:pPr>
                  <w:r>
                    <w:t xml:space="preserve"> </w:t>
                  </w:r>
                </w:p>
              </w:tc>
            </w:tr>
            <w:tr w:rsidR="00F57D19" w14:paraId="423FFE2C" w14:textId="77777777">
              <w:trPr>
                <w:trHeight w:val="318"/>
              </w:trPr>
              <w:tc>
                <w:tcPr>
                  <w:tcW w:w="2244" w:type="dxa"/>
                  <w:tcBorders>
                    <w:top w:val="single" w:sz="8" w:space="0" w:color="FFFFFF"/>
                    <w:left w:val="single" w:sz="8" w:space="0" w:color="FFFFFF"/>
                    <w:bottom w:val="single" w:sz="8" w:space="0" w:color="FFFFFF"/>
                    <w:right w:val="single" w:sz="8" w:space="0" w:color="FFFFFF"/>
                  </w:tcBorders>
                  <w:shd w:val="clear" w:color="auto" w:fill="C4CBE5"/>
                </w:tcPr>
                <w:p w14:paraId="609D6785" w14:textId="77777777" w:rsidR="00F57D19" w:rsidRDefault="00000000">
                  <w:pPr>
                    <w:spacing w:after="0" w:line="259" w:lineRule="auto"/>
                    <w:ind w:left="0" w:firstLine="0"/>
                  </w:pPr>
                  <w:r>
                    <w:t xml:space="preserve">Vitamin C </w:t>
                  </w:r>
                </w:p>
              </w:tc>
              <w:tc>
                <w:tcPr>
                  <w:tcW w:w="1518" w:type="dxa"/>
                  <w:tcBorders>
                    <w:top w:val="single" w:sz="8" w:space="0" w:color="FFFFFF"/>
                    <w:left w:val="single" w:sz="8" w:space="0" w:color="FFFFFF"/>
                    <w:bottom w:val="single" w:sz="8" w:space="0" w:color="FFFFFF"/>
                    <w:right w:val="single" w:sz="8" w:space="0" w:color="FFFFFF"/>
                  </w:tcBorders>
                  <w:shd w:val="clear" w:color="auto" w:fill="C4CBE5"/>
                </w:tcPr>
                <w:p w14:paraId="11995434" w14:textId="77777777" w:rsidR="00F57D19" w:rsidRDefault="00000000">
                  <w:pPr>
                    <w:spacing w:after="0" w:line="259" w:lineRule="auto"/>
                    <w:ind w:left="3" w:firstLine="0"/>
                  </w:pPr>
                  <w:r>
                    <w:t xml:space="preserve"> </w:t>
                  </w:r>
                </w:p>
              </w:tc>
            </w:tr>
          </w:tbl>
          <w:p w14:paraId="2C06A910" w14:textId="77777777" w:rsidR="00F57D19" w:rsidRDefault="00F57D19">
            <w:pPr>
              <w:spacing w:after="160" w:line="259" w:lineRule="auto"/>
              <w:ind w:left="0" w:firstLine="0"/>
            </w:pPr>
          </w:p>
        </w:tc>
        <w:tc>
          <w:tcPr>
            <w:tcW w:w="5247" w:type="dxa"/>
            <w:tcBorders>
              <w:top w:val="nil"/>
              <w:left w:val="nil"/>
              <w:bottom w:val="nil"/>
              <w:right w:val="nil"/>
            </w:tcBorders>
          </w:tcPr>
          <w:p w14:paraId="1690A4CE" w14:textId="77777777" w:rsidR="00F57D19" w:rsidRDefault="00F57D19">
            <w:pPr>
              <w:spacing w:after="0" w:line="259" w:lineRule="auto"/>
              <w:ind w:left="-5575" w:right="10822" w:firstLine="0"/>
            </w:pPr>
          </w:p>
          <w:tbl>
            <w:tblPr>
              <w:tblStyle w:val="TableGrid"/>
              <w:tblW w:w="4767" w:type="dxa"/>
              <w:tblInd w:w="480" w:type="dxa"/>
              <w:tblCellMar>
                <w:top w:w="55" w:type="dxa"/>
                <w:left w:w="108" w:type="dxa"/>
                <w:right w:w="115" w:type="dxa"/>
              </w:tblCellMar>
              <w:tblLook w:val="04A0" w:firstRow="1" w:lastRow="0" w:firstColumn="1" w:lastColumn="0" w:noHBand="0" w:noVBand="1"/>
            </w:tblPr>
            <w:tblGrid>
              <w:gridCol w:w="2248"/>
              <w:gridCol w:w="2519"/>
            </w:tblGrid>
            <w:tr w:rsidR="00F57D19" w14:paraId="57E08B44" w14:textId="77777777">
              <w:trPr>
                <w:trHeight w:val="632"/>
              </w:trPr>
              <w:tc>
                <w:tcPr>
                  <w:tcW w:w="2248" w:type="dxa"/>
                  <w:tcBorders>
                    <w:top w:val="single" w:sz="8" w:space="0" w:color="FFFFFF"/>
                    <w:left w:val="single" w:sz="8" w:space="0" w:color="FFFFFF"/>
                    <w:bottom w:val="single" w:sz="32" w:space="0" w:color="FFFFFF"/>
                    <w:right w:val="single" w:sz="8" w:space="0" w:color="FFFFFF"/>
                  </w:tcBorders>
                  <w:shd w:val="clear" w:color="auto" w:fill="355BB7"/>
                </w:tcPr>
                <w:p w14:paraId="460F2C15" w14:textId="77777777" w:rsidR="00F57D19" w:rsidRDefault="00000000">
                  <w:pPr>
                    <w:spacing w:after="0" w:line="259" w:lineRule="auto"/>
                    <w:ind w:left="0" w:firstLine="0"/>
                  </w:pPr>
                  <w:r>
                    <w:rPr>
                      <w:b/>
                      <w:color w:val="FFFFFF"/>
                    </w:rPr>
                    <w:t xml:space="preserve">Macro-minerals (&gt;100mg/day) </w:t>
                  </w:r>
                </w:p>
              </w:tc>
              <w:tc>
                <w:tcPr>
                  <w:tcW w:w="2518" w:type="dxa"/>
                  <w:tcBorders>
                    <w:top w:val="single" w:sz="8" w:space="0" w:color="FFFFFF"/>
                    <w:left w:val="single" w:sz="8" w:space="0" w:color="FFFFFF"/>
                    <w:bottom w:val="single" w:sz="32" w:space="0" w:color="FFFFFF"/>
                    <w:right w:val="single" w:sz="8" w:space="0" w:color="FFFFFF"/>
                  </w:tcBorders>
                  <w:shd w:val="clear" w:color="auto" w:fill="355BB7"/>
                </w:tcPr>
                <w:p w14:paraId="4F1AF2C7" w14:textId="77777777" w:rsidR="00F57D19" w:rsidRDefault="00000000">
                  <w:pPr>
                    <w:spacing w:after="0" w:line="259" w:lineRule="auto"/>
                    <w:ind w:left="2" w:firstLine="0"/>
                  </w:pPr>
                  <w:r>
                    <w:rPr>
                      <w:b/>
                      <w:color w:val="FFFFFF"/>
                    </w:rPr>
                    <w:t xml:space="preserve">Micro-minerals (trace) (&lt;100mg/day) </w:t>
                  </w:r>
                </w:p>
              </w:tc>
            </w:tr>
            <w:tr w:rsidR="00F57D19" w14:paraId="7AA74CDC" w14:textId="77777777">
              <w:trPr>
                <w:trHeight w:val="345"/>
              </w:trPr>
              <w:tc>
                <w:tcPr>
                  <w:tcW w:w="2248" w:type="dxa"/>
                  <w:tcBorders>
                    <w:top w:val="single" w:sz="32" w:space="0" w:color="FFFFFF"/>
                    <w:left w:val="single" w:sz="8" w:space="0" w:color="FFFFFF"/>
                    <w:bottom w:val="single" w:sz="8" w:space="0" w:color="FFFFFF"/>
                    <w:right w:val="single" w:sz="8" w:space="0" w:color="FFFFFF"/>
                  </w:tcBorders>
                  <w:shd w:val="clear" w:color="auto" w:fill="C4CBE5"/>
                </w:tcPr>
                <w:p w14:paraId="5C4B9AC6" w14:textId="77777777" w:rsidR="00F57D19" w:rsidRDefault="00000000">
                  <w:pPr>
                    <w:spacing w:after="0" w:line="259" w:lineRule="auto"/>
                    <w:ind w:left="0" w:firstLine="0"/>
                  </w:pPr>
                  <w:r>
                    <w:t xml:space="preserve">Calcium (Ca) </w:t>
                  </w:r>
                </w:p>
              </w:tc>
              <w:tc>
                <w:tcPr>
                  <w:tcW w:w="2518" w:type="dxa"/>
                  <w:tcBorders>
                    <w:top w:val="single" w:sz="32" w:space="0" w:color="FFFFFF"/>
                    <w:left w:val="single" w:sz="8" w:space="0" w:color="FFFFFF"/>
                    <w:bottom w:val="single" w:sz="8" w:space="0" w:color="FFFFFF"/>
                    <w:right w:val="single" w:sz="8" w:space="0" w:color="FFFFFF"/>
                  </w:tcBorders>
                  <w:shd w:val="clear" w:color="auto" w:fill="C4CBE5"/>
                </w:tcPr>
                <w:p w14:paraId="5B7D8D6C" w14:textId="77777777" w:rsidR="00F57D19" w:rsidRDefault="00000000">
                  <w:pPr>
                    <w:spacing w:after="0" w:line="259" w:lineRule="auto"/>
                    <w:ind w:left="2" w:firstLine="0"/>
                  </w:pPr>
                  <w:r>
                    <w:t xml:space="preserve">Iron (Fe) </w:t>
                  </w:r>
                </w:p>
              </w:tc>
            </w:tr>
            <w:tr w:rsidR="00F57D19" w14:paraId="1BAC3AFD" w14:textId="77777777">
              <w:trPr>
                <w:trHeight w:val="310"/>
              </w:trPr>
              <w:tc>
                <w:tcPr>
                  <w:tcW w:w="2248" w:type="dxa"/>
                  <w:tcBorders>
                    <w:top w:val="single" w:sz="8" w:space="0" w:color="FFFFFF"/>
                    <w:left w:val="single" w:sz="8" w:space="0" w:color="FFFFFF"/>
                    <w:bottom w:val="single" w:sz="8" w:space="0" w:color="FFFFFF"/>
                    <w:right w:val="single" w:sz="8" w:space="0" w:color="FFFFFF"/>
                  </w:tcBorders>
                  <w:shd w:val="clear" w:color="auto" w:fill="E4E6F2"/>
                </w:tcPr>
                <w:p w14:paraId="7F3C91F3" w14:textId="77777777" w:rsidR="00F57D19" w:rsidRDefault="00000000">
                  <w:pPr>
                    <w:spacing w:after="0" w:line="259" w:lineRule="auto"/>
                    <w:ind w:left="0" w:firstLine="0"/>
                  </w:pPr>
                  <w:r>
                    <w:t xml:space="preserve">Phosphorous (P) </w:t>
                  </w:r>
                </w:p>
              </w:tc>
              <w:tc>
                <w:tcPr>
                  <w:tcW w:w="2518" w:type="dxa"/>
                  <w:tcBorders>
                    <w:top w:val="single" w:sz="8" w:space="0" w:color="FFFFFF"/>
                    <w:left w:val="single" w:sz="8" w:space="0" w:color="FFFFFF"/>
                    <w:bottom w:val="single" w:sz="8" w:space="0" w:color="FFFFFF"/>
                    <w:right w:val="single" w:sz="8" w:space="0" w:color="FFFFFF"/>
                  </w:tcBorders>
                  <w:shd w:val="clear" w:color="auto" w:fill="E4E6F2"/>
                </w:tcPr>
                <w:p w14:paraId="51B80532" w14:textId="77777777" w:rsidR="00F57D19" w:rsidRDefault="00000000">
                  <w:pPr>
                    <w:spacing w:after="0" w:line="259" w:lineRule="auto"/>
                    <w:ind w:left="2" w:firstLine="0"/>
                  </w:pPr>
                  <w:r>
                    <w:t xml:space="preserve">Zinc (Zn) </w:t>
                  </w:r>
                </w:p>
              </w:tc>
            </w:tr>
            <w:tr w:rsidR="00F57D19" w14:paraId="4FF10148" w14:textId="77777777">
              <w:trPr>
                <w:trHeight w:val="315"/>
              </w:trPr>
              <w:tc>
                <w:tcPr>
                  <w:tcW w:w="2248" w:type="dxa"/>
                  <w:tcBorders>
                    <w:top w:val="single" w:sz="8" w:space="0" w:color="FFFFFF"/>
                    <w:left w:val="single" w:sz="8" w:space="0" w:color="FFFFFF"/>
                    <w:bottom w:val="single" w:sz="8" w:space="0" w:color="FFFFFF"/>
                    <w:right w:val="single" w:sz="8" w:space="0" w:color="FFFFFF"/>
                  </w:tcBorders>
                  <w:shd w:val="clear" w:color="auto" w:fill="C4CBE5"/>
                </w:tcPr>
                <w:p w14:paraId="395FBDFF" w14:textId="77777777" w:rsidR="00F57D19" w:rsidRDefault="00000000">
                  <w:pPr>
                    <w:spacing w:after="0" w:line="259" w:lineRule="auto"/>
                    <w:ind w:left="0" w:firstLine="0"/>
                  </w:pPr>
                  <w:r>
                    <w:t xml:space="preserve">Magnesium (Mg) </w:t>
                  </w:r>
                </w:p>
              </w:tc>
              <w:tc>
                <w:tcPr>
                  <w:tcW w:w="2518" w:type="dxa"/>
                  <w:tcBorders>
                    <w:top w:val="single" w:sz="8" w:space="0" w:color="FFFFFF"/>
                    <w:left w:val="single" w:sz="8" w:space="0" w:color="FFFFFF"/>
                    <w:bottom w:val="single" w:sz="8" w:space="0" w:color="FFFFFF"/>
                    <w:right w:val="single" w:sz="8" w:space="0" w:color="FFFFFF"/>
                  </w:tcBorders>
                  <w:shd w:val="clear" w:color="auto" w:fill="C4CBE5"/>
                </w:tcPr>
                <w:p w14:paraId="2908C16B" w14:textId="77777777" w:rsidR="00F57D19" w:rsidRDefault="00000000">
                  <w:pPr>
                    <w:spacing w:after="0" w:line="259" w:lineRule="auto"/>
                    <w:ind w:left="2" w:firstLine="0"/>
                  </w:pPr>
                  <w:r>
                    <w:t xml:space="preserve">Copper (Cu) </w:t>
                  </w:r>
                </w:p>
              </w:tc>
            </w:tr>
            <w:tr w:rsidR="00F57D19" w14:paraId="3DECFE90" w14:textId="77777777">
              <w:trPr>
                <w:trHeight w:val="315"/>
              </w:trPr>
              <w:tc>
                <w:tcPr>
                  <w:tcW w:w="2248" w:type="dxa"/>
                  <w:tcBorders>
                    <w:top w:val="single" w:sz="8" w:space="0" w:color="FFFFFF"/>
                    <w:left w:val="single" w:sz="8" w:space="0" w:color="FFFFFF"/>
                    <w:bottom w:val="single" w:sz="8" w:space="0" w:color="FFFFFF"/>
                    <w:right w:val="single" w:sz="8" w:space="0" w:color="FFFFFF"/>
                  </w:tcBorders>
                  <w:shd w:val="clear" w:color="auto" w:fill="E4E6F2"/>
                </w:tcPr>
                <w:p w14:paraId="6BCB1812" w14:textId="77777777" w:rsidR="00F57D19" w:rsidRDefault="00000000">
                  <w:pPr>
                    <w:spacing w:after="0" w:line="259" w:lineRule="auto"/>
                    <w:ind w:left="0" w:firstLine="0"/>
                  </w:pPr>
                  <w:r>
                    <w:t xml:space="preserve">Sodium (Na) </w:t>
                  </w:r>
                </w:p>
              </w:tc>
              <w:tc>
                <w:tcPr>
                  <w:tcW w:w="2518" w:type="dxa"/>
                  <w:tcBorders>
                    <w:top w:val="single" w:sz="8" w:space="0" w:color="FFFFFF"/>
                    <w:left w:val="single" w:sz="8" w:space="0" w:color="FFFFFF"/>
                    <w:bottom w:val="single" w:sz="8" w:space="0" w:color="FFFFFF"/>
                    <w:right w:val="single" w:sz="8" w:space="0" w:color="FFFFFF"/>
                  </w:tcBorders>
                  <w:shd w:val="clear" w:color="auto" w:fill="E4E6F2"/>
                </w:tcPr>
                <w:p w14:paraId="69676079" w14:textId="77777777" w:rsidR="00F57D19" w:rsidRDefault="00000000">
                  <w:pPr>
                    <w:spacing w:after="0" w:line="259" w:lineRule="auto"/>
                    <w:ind w:left="2" w:firstLine="0"/>
                  </w:pPr>
                  <w:r>
                    <w:t xml:space="preserve">Selenium (Se) </w:t>
                  </w:r>
                </w:p>
              </w:tc>
            </w:tr>
            <w:tr w:rsidR="00F57D19" w14:paraId="4AFA44AB" w14:textId="77777777">
              <w:trPr>
                <w:trHeight w:val="310"/>
              </w:trPr>
              <w:tc>
                <w:tcPr>
                  <w:tcW w:w="2248" w:type="dxa"/>
                  <w:tcBorders>
                    <w:top w:val="single" w:sz="8" w:space="0" w:color="FFFFFF"/>
                    <w:left w:val="single" w:sz="8" w:space="0" w:color="FFFFFF"/>
                    <w:bottom w:val="single" w:sz="8" w:space="0" w:color="FFFFFF"/>
                    <w:right w:val="single" w:sz="8" w:space="0" w:color="FFFFFF"/>
                  </w:tcBorders>
                  <w:shd w:val="clear" w:color="auto" w:fill="C4CBE5"/>
                </w:tcPr>
                <w:p w14:paraId="47EEB6C6" w14:textId="77777777" w:rsidR="00F57D19" w:rsidRDefault="00000000">
                  <w:pPr>
                    <w:spacing w:after="0" w:line="259" w:lineRule="auto"/>
                    <w:ind w:left="0" w:firstLine="0"/>
                  </w:pPr>
                  <w:r>
                    <w:t xml:space="preserve">Potassium (K) </w:t>
                  </w:r>
                </w:p>
              </w:tc>
              <w:tc>
                <w:tcPr>
                  <w:tcW w:w="2518" w:type="dxa"/>
                  <w:tcBorders>
                    <w:top w:val="single" w:sz="8" w:space="0" w:color="FFFFFF"/>
                    <w:left w:val="single" w:sz="8" w:space="0" w:color="FFFFFF"/>
                    <w:bottom w:val="single" w:sz="8" w:space="0" w:color="FFFFFF"/>
                    <w:right w:val="single" w:sz="8" w:space="0" w:color="FFFFFF"/>
                  </w:tcBorders>
                  <w:shd w:val="clear" w:color="auto" w:fill="C4CBE5"/>
                </w:tcPr>
                <w:p w14:paraId="2BE6A951" w14:textId="77777777" w:rsidR="00F57D19" w:rsidRDefault="00000000">
                  <w:pPr>
                    <w:spacing w:after="0" w:line="259" w:lineRule="auto"/>
                    <w:ind w:left="2" w:firstLine="0"/>
                  </w:pPr>
                  <w:r>
                    <w:t xml:space="preserve">Chromium (Cr) </w:t>
                  </w:r>
                </w:p>
              </w:tc>
            </w:tr>
            <w:tr w:rsidR="00F57D19" w14:paraId="012286FD" w14:textId="77777777">
              <w:trPr>
                <w:trHeight w:val="316"/>
              </w:trPr>
              <w:tc>
                <w:tcPr>
                  <w:tcW w:w="2248" w:type="dxa"/>
                  <w:tcBorders>
                    <w:top w:val="single" w:sz="8" w:space="0" w:color="FFFFFF"/>
                    <w:left w:val="single" w:sz="8" w:space="0" w:color="FFFFFF"/>
                    <w:bottom w:val="single" w:sz="8" w:space="0" w:color="FFFFFF"/>
                    <w:right w:val="single" w:sz="8" w:space="0" w:color="FFFFFF"/>
                  </w:tcBorders>
                  <w:shd w:val="clear" w:color="auto" w:fill="E4E6F2"/>
                </w:tcPr>
                <w:p w14:paraId="7E292F75" w14:textId="77777777" w:rsidR="00F57D19" w:rsidRDefault="00000000">
                  <w:pPr>
                    <w:spacing w:after="0" w:line="259" w:lineRule="auto"/>
                    <w:ind w:left="0" w:firstLine="0"/>
                  </w:pPr>
                  <w:r>
                    <w:t xml:space="preserve">Chloride (Cl) </w:t>
                  </w:r>
                </w:p>
              </w:tc>
              <w:tc>
                <w:tcPr>
                  <w:tcW w:w="2518" w:type="dxa"/>
                  <w:tcBorders>
                    <w:top w:val="single" w:sz="8" w:space="0" w:color="FFFFFF"/>
                    <w:left w:val="single" w:sz="8" w:space="0" w:color="FFFFFF"/>
                    <w:bottom w:val="single" w:sz="8" w:space="0" w:color="FFFFFF"/>
                    <w:right w:val="single" w:sz="8" w:space="0" w:color="FFFFFF"/>
                  </w:tcBorders>
                  <w:shd w:val="clear" w:color="auto" w:fill="E4E6F2"/>
                </w:tcPr>
                <w:p w14:paraId="0D0E8575" w14:textId="77777777" w:rsidR="00F57D19" w:rsidRDefault="00000000">
                  <w:pPr>
                    <w:spacing w:after="0" w:line="259" w:lineRule="auto"/>
                    <w:ind w:left="2" w:firstLine="0"/>
                  </w:pPr>
                  <w:r>
                    <w:t xml:space="preserve">Iodine (I) </w:t>
                  </w:r>
                </w:p>
              </w:tc>
            </w:tr>
            <w:tr w:rsidR="00F57D19" w14:paraId="49060FC8" w14:textId="77777777">
              <w:trPr>
                <w:trHeight w:val="310"/>
              </w:trPr>
              <w:tc>
                <w:tcPr>
                  <w:tcW w:w="2248" w:type="dxa"/>
                  <w:tcBorders>
                    <w:top w:val="single" w:sz="8" w:space="0" w:color="FFFFFF"/>
                    <w:left w:val="single" w:sz="8" w:space="0" w:color="FFFFFF"/>
                    <w:bottom w:val="single" w:sz="8" w:space="0" w:color="FFFFFF"/>
                    <w:right w:val="single" w:sz="8" w:space="0" w:color="FFFFFF"/>
                  </w:tcBorders>
                  <w:shd w:val="clear" w:color="auto" w:fill="C4CBE5"/>
                </w:tcPr>
                <w:p w14:paraId="24A15534" w14:textId="77777777" w:rsidR="00F57D19" w:rsidRDefault="00000000">
                  <w:pPr>
                    <w:spacing w:after="0" w:line="259" w:lineRule="auto"/>
                    <w:ind w:left="0" w:firstLine="0"/>
                  </w:pPr>
                  <w:r>
                    <w:t xml:space="preserve"> </w:t>
                  </w:r>
                </w:p>
              </w:tc>
              <w:tc>
                <w:tcPr>
                  <w:tcW w:w="2518" w:type="dxa"/>
                  <w:tcBorders>
                    <w:top w:val="single" w:sz="8" w:space="0" w:color="FFFFFF"/>
                    <w:left w:val="single" w:sz="8" w:space="0" w:color="FFFFFF"/>
                    <w:bottom w:val="single" w:sz="8" w:space="0" w:color="FFFFFF"/>
                    <w:right w:val="single" w:sz="8" w:space="0" w:color="FFFFFF"/>
                  </w:tcBorders>
                  <w:shd w:val="clear" w:color="auto" w:fill="C4CBE5"/>
                </w:tcPr>
                <w:p w14:paraId="5C4E75B2" w14:textId="77777777" w:rsidR="00F57D19" w:rsidRDefault="00000000">
                  <w:pPr>
                    <w:spacing w:after="0" w:line="259" w:lineRule="auto"/>
                    <w:ind w:left="2" w:firstLine="0"/>
                  </w:pPr>
                  <w:r>
                    <w:t xml:space="preserve">Manganese (Mn) </w:t>
                  </w:r>
                </w:p>
              </w:tc>
            </w:tr>
            <w:tr w:rsidR="00F57D19" w14:paraId="29C89295" w14:textId="77777777">
              <w:trPr>
                <w:trHeight w:val="315"/>
              </w:trPr>
              <w:tc>
                <w:tcPr>
                  <w:tcW w:w="2248" w:type="dxa"/>
                  <w:tcBorders>
                    <w:top w:val="single" w:sz="8" w:space="0" w:color="FFFFFF"/>
                    <w:left w:val="single" w:sz="8" w:space="0" w:color="FFFFFF"/>
                    <w:bottom w:val="single" w:sz="8" w:space="0" w:color="FFFFFF"/>
                    <w:right w:val="single" w:sz="8" w:space="0" w:color="FFFFFF"/>
                  </w:tcBorders>
                  <w:shd w:val="clear" w:color="auto" w:fill="E4E6F2"/>
                </w:tcPr>
                <w:p w14:paraId="08985336" w14:textId="77777777" w:rsidR="00F57D19" w:rsidRDefault="00000000">
                  <w:pPr>
                    <w:spacing w:after="0" w:line="259" w:lineRule="auto"/>
                    <w:ind w:left="0" w:firstLine="0"/>
                  </w:pPr>
                  <w:r>
                    <w:t xml:space="preserve"> </w:t>
                  </w:r>
                </w:p>
              </w:tc>
              <w:tc>
                <w:tcPr>
                  <w:tcW w:w="2518" w:type="dxa"/>
                  <w:tcBorders>
                    <w:top w:val="single" w:sz="8" w:space="0" w:color="FFFFFF"/>
                    <w:left w:val="single" w:sz="8" w:space="0" w:color="FFFFFF"/>
                    <w:bottom w:val="single" w:sz="8" w:space="0" w:color="FFFFFF"/>
                    <w:right w:val="single" w:sz="8" w:space="0" w:color="FFFFFF"/>
                  </w:tcBorders>
                  <w:shd w:val="clear" w:color="auto" w:fill="E4E6F2"/>
                </w:tcPr>
                <w:p w14:paraId="56BCF324" w14:textId="77777777" w:rsidR="00F57D19" w:rsidRDefault="00000000">
                  <w:pPr>
                    <w:spacing w:after="0" w:line="259" w:lineRule="auto"/>
                    <w:ind w:left="2" w:firstLine="0"/>
                  </w:pPr>
                  <w:r>
                    <w:t xml:space="preserve">Fluoride (Fl) </w:t>
                  </w:r>
                </w:p>
              </w:tc>
            </w:tr>
            <w:tr w:rsidR="00F57D19" w14:paraId="61C96375" w14:textId="77777777">
              <w:trPr>
                <w:trHeight w:val="315"/>
              </w:trPr>
              <w:tc>
                <w:tcPr>
                  <w:tcW w:w="2248" w:type="dxa"/>
                  <w:tcBorders>
                    <w:top w:val="single" w:sz="8" w:space="0" w:color="FFFFFF"/>
                    <w:left w:val="single" w:sz="8" w:space="0" w:color="FFFFFF"/>
                    <w:bottom w:val="single" w:sz="8" w:space="0" w:color="FFFFFF"/>
                    <w:right w:val="single" w:sz="8" w:space="0" w:color="FFFFFF"/>
                  </w:tcBorders>
                  <w:shd w:val="clear" w:color="auto" w:fill="C4CBE5"/>
                </w:tcPr>
                <w:p w14:paraId="0EAC2431" w14:textId="77777777" w:rsidR="00F57D19" w:rsidRDefault="00000000">
                  <w:pPr>
                    <w:spacing w:after="0" w:line="259" w:lineRule="auto"/>
                    <w:ind w:left="0" w:firstLine="0"/>
                  </w:pPr>
                  <w:r>
                    <w:t xml:space="preserve"> </w:t>
                  </w:r>
                </w:p>
              </w:tc>
              <w:tc>
                <w:tcPr>
                  <w:tcW w:w="2518" w:type="dxa"/>
                  <w:tcBorders>
                    <w:top w:val="single" w:sz="8" w:space="0" w:color="FFFFFF"/>
                    <w:left w:val="single" w:sz="8" w:space="0" w:color="FFFFFF"/>
                    <w:bottom w:val="single" w:sz="8" w:space="0" w:color="FFFFFF"/>
                    <w:right w:val="single" w:sz="8" w:space="0" w:color="FFFFFF"/>
                  </w:tcBorders>
                  <w:shd w:val="clear" w:color="auto" w:fill="C4CBE5"/>
                </w:tcPr>
                <w:p w14:paraId="7CF518E7" w14:textId="77777777" w:rsidR="00F57D19" w:rsidRDefault="00000000">
                  <w:pPr>
                    <w:spacing w:after="0" w:line="259" w:lineRule="auto"/>
                    <w:ind w:left="2" w:firstLine="0"/>
                  </w:pPr>
                  <w:r>
                    <w:t xml:space="preserve">Cobalt (Co) </w:t>
                  </w:r>
                </w:p>
              </w:tc>
            </w:tr>
            <w:tr w:rsidR="00F57D19" w14:paraId="33475031" w14:textId="77777777">
              <w:trPr>
                <w:trHeight w:val="308"/>
              </w:trPr>
              <w:tc>
                <w:tcPr>
                  <w:tcW w:w="2248" w:type="dxa"/>
                  <w:tcBorders>
                    <w:top w:val="single" w:sz="8" w:space="0" w:color="FFFFFF"/>
                    <w:left w:val="single" w:sz="8" w:space="0" w:color="FFFFFF"/>
                    <w:bottom w:val="single" w:sz="8" w:space="0" w:color="FFFFFF"/>
                    <w:right w:val="single" w:sz="8" w:space="0" w:color="FFFFFF"/>
                  </w:tcBorders>
                  <w:shd w:val="clear" w:color="auto" w:fill="E4E6F2"/>
                </w:tcPr>
                <w:p w14:paraId="05F95DFE" w14:textId="77777777" w:rsidR="00F57D19" w:rsidRDefault="00000000">
                  <w:pPr>
                    <w:spacing w:after="0" w:line="259" w:lineRule="auto"/>
                    <w:ind w:left="0" w:firstLine="0"/>
                  </w:pPr>
                  <w:r>
                    <w:t xml:space="preserve"> </w:t>
                  </w:r>
                </w:p>
              </w:tc>
              <w:tc>
                <w:tcPr>
                  <w:tcW w:w="2518" w:type="dxa"/>
                  <w:tcBorders>
                    <w:top w:val="single" w:sz="8" w:space="0" w:color="FFFFFF"/>
                    <w:left w:val="single" w:sz="8" w:space="0" w:color="FFFFFF"/>
                    <w:bottom w:val="single" w:sz="8" w:space="0" w:color="FFFFFF"/>
                    <w:right w:val="single" w:sz="8" w:space="0" w:color="FFFFFF"/>
                  </w:tcBorders>
                  <w:shd w:val="clear" w:color="auto" w:fill="E4E6F2"/>
                </w:tcPr>
                <w:p w14:paraId="4A978E9F" w14:textId="77777777" w:rsidR="00F57D19" w:rsidRDefault="00000000">
                  <w:pPr>
                    <w:spacing w:after="0" w:line="259" w:lineRule="auto"/>
                    <w:ind w:left="2" w:firstLine="0"/>
                  </w:pPr>
                  <w:r>
                    <w:t xml:space="preserve">Others </w:t>
                  </w:r>
                </w:p>
              </w:tc>
            </w:tr>
          </w:tbl>
          <w:p w14:paraId="51DC26E4" w14:textId="77777777" w:rsidR="00F57D19" w:rsidRDefault="00F57D19">
            <w:pPr>
              <w:spacing w:after="160" w:line="259" w:lineRule="auto"/>
              <w:ind w:left="0" w:firstLine="0"/>
            </w:pPr>
          </w:p>
        </w:tc>
      </w:tr>
    </w:tbl>
    <w:p w14:paraId="1D647FAD" w14:textId="77777777" w:rsidR="00F57D19" w:rsidRDefault="00000000">
      <w:pPr>
        <w:spacing w:after="0" w:line="259" w:lineRule="auto"/>
        <w:ind w:left="0" w:firstLine="0"/>
      </w:pPr>
      <w:r>
        <w:rPr>
          <w:b/>
        </w:rPr>
        <w:t xml:space="preserve"> </w:t>
      </w:r>
    </w:p>
    <w:p w14:paraId="3382CB6B" w14:textId="77777777" w:rsidR="00F57D19" w:rsidRDefault="00000000">
      <w:pPr>
        <w:spacing w:after="0" w:line="259" w:lineRule="auto"/>
        <w:ind w:left="-5"/>
      </w:pPr>
      <w:r>
        <w:rPr>
          <w:b/>
          <w:u w:val="single" w:color="000000"/>
        </w:rPr>
        <w:t>Metabolism - Vitamins:</w:t>
      </w:r>
      <w:r>
        <w:rPr>
          <w:b/>
        </w:rPr>
        <w:t xml:space="preserve"> </w:t>
      </w:r>
    </w:p>
    <w:p w14:paraId="3BC28ADC" w14:textId="77777777" w:rsidR="00F57D19" w:rsidRDefault="00000000">
      <w:pPr>
        <w:ind w:left="-5"/>
      </w:pPr>
      <w:r>
        <w:t xml:space="preserve">Fat-soluble and water-soluble vitamins significantly differ in their ability to be stored and excreted.  </w:t>
      </w:r>
      <w:r>
        <w:rPr>
          <w:b/>
          <w:color w:val="4472C4"/>
          <w:u w:val="single" w:color="4472C4"/>
        </w:rPr>
        <w:t>Water-soluble vitamins</w:t>
      </w:r>
      <w:r>
        <w:rPr>
          <w:color w:val="4472C4"/>
        </w:rPr>
        <w:t xml:space="preserve"> </w:t>
      </w:r>
      <w:r>
        <w:t xml:space="preserve">are readily excreted in the urine, and thus </w:t>
      </w:r>
      <w:r>
        <w:rPr>
          <w:b/>
          <w:color w:val="4472C4"/>
          <w:u w:val="single" w:color="4472C4"/>
        </w:rPr>
        <w:t>deficiencies can</w:t>
      </w:r>
      <w:r>
        <w:rPr>
          <w:b/>
          <w:color w:val="4472C4"/>
        </w:rPr>
        <w:t xml:space="preserve"> </w:t>
      </w:r>
      <w:r>
        <w:rPr>
          <w:b/>
          <w:color w:val="4472C4"/>
          <w:u w:val="single" w:color="4472C4"/>
        </w:rPr>
        <w:t>develop quickly</w:t>
      </w:r>
      <w:r>
        <w:t xml:space="preserve"> without a regular dietary source. Risk for toxicity (excess) is minimal with water-soluble vitamins. In opposition, fat-soluble vitamins are readily stored in body fat. Therefore, deficiency states take longer to develop in the absence of dietary sources. </w:t>
      </w:r>
      <w:r>
        <w:rPr>
          <w:b/>
          <w:color w:val="4472C4"/>
          <w:u w:val="single" w:color="4472C4"/>
        </w:rPr>
        <w:t>Toxicities</w:t>
      </w:r>
      <w:r>
        <w:rPr>
          <w:b/>
          <w:color w:val="4472C4"/>
        </w:rPr>
        <w:t xml:space="preserve"> </w:t>
      </w:r>
      <w:r>
        <w:rPr>
          <w:b/>
          <w:color w:val="4472C4"/>
          <w:u w:val="single" w:color="4472C4"/>
        </w:rPr>
        <w:t>are more likely with fat-soluble vitamins</w:t>
      </w:r>
      <w:r>
        <w:rPr>
          <w:color w:val="4472C4"/>
        </w:rPr>
        <w:t xml:space="preserve"> </w:t>
      </w:r>
      <w:r>
        <w:t xml:space="preserve">due to their ability to be stored.  </w:t>
      </w:r>
    </w:p>
    <w:p w14:paraId="3155DC3C" w14:textId="77777777" w:rsidR="00F57D19" w:rsidRDefault="00000000">
      <w:pPr>
        <w:spacing w:after="0" w:line="259" w:lineRule="auto"/>
        <w:ind w:left="0" w:firstLine="0"/>
      </w:pPr>
      <w:r>
        <w:t xml:space="preserve"> </w:t>
      </w:r>
    </w:p>
    <w:p w14:paraId="45EEBA1F" w14:textId="77777777" w:rsidR="00F57D19" w:rsidRDefault="00000000">
      <w:pPr>
        <w:spacing w:after="0" w:line="259" w:lineRule="auto"/>
        <w:ind w:left="-5"/>
      </w:pPr>
      <w:r>
        <w:rPr>
          <w:b/>
          <w:u w:val="single" w:color="000000"/>
        </w:rPr>
        <w:t>Metabolism - Minerals:</w:t>
      </w:r>
      <w:r>
        <w:rPr>
          <w:b/>
        </w:rPr>
        <w:t xml:space="preserve">  </w:t>
      </w:r>
    </w:p>
    <w:p w14:paraId="7267064F" w14:textId="77777777" w:rsidR="00F57D19" w:rsidRDefault="00000000">
      <w:pPr>
        <w:ind w:left="-5"/>
      </w:pPr>
      <w:r>
        <w:t xml:space="preserve">In general, minerals are not absorbed as well as most vitamins. </w:t>
      </w:r>
      <w:r>
        <w:rPr>
          <w:b/>
          <w:color w:val="4472C4"/>
          <w:u w:val="single" w:color="4472C4"/>
        </w:rPr>
        <w:t>In addition, animal sources of</w:t>
      </w:r>
      <w:r>
        <w:rPr>
          <w:b/>
          <w:color w:val="4472C4"/>
        </w:rPr>
        <w:t xml:space="preserve"> </w:t>
      </w:r>
      <w:r>
        <w:rPr>
          <w:b/>
          <w:color w:val="4472C4"/>
          <w:u w:val="single" w:color="4472C4"/>
        </w:rPr>
        <w:t>minerals are absorbed better as they are more bioavailable</w:t>
      </w:r>
      <w:r>
        <w:rPr>
          <w:color w:val="4472C4"/>
        </w:rPr>
        <w:t xml:space="preserve"> </w:t>
      </w:r>
      <w:r>
        <w:t xml:space="preserve">compared to plant sources. For example, the iron in red meat is better absorbed than the iron found in plant foods. Toxicity from minerals is more likely to occur from excess dietary supplements than from food.  </w:t>
      </w:r>
    </w:p>
    <w:p w14:paraId="7569F6BD" w14:textId="77777777" w:rsidR="00F57D19" w:rsidRDefault="00000000">
      <w:pPr>
        <w:spacing w:after="94" w:line="259" w:lineRule="auto"/>
        <w:ind w:left="0" w:firstLine="0"/>
      </w:pPr>
      <w:r>
        <w:t xml:space="preserve"> </w:t>
      </w:r>
    </w:p>
    <w:p w14:paraId="7D2B9C2E" w14:textId="77777777" w:rsidR="00F57D19" w:rsidRDefault="00000000">
      <w:pPr>
        <w:spacing w:after="0" w:line="259" w:lineRule="auto"/>
        <w:ind w:left="-5"/>
      </w:pPr>
      <w:r>
        <w:rPr>
          <w:b/>
          <w:sz w:val="36"/>
          <w:u w:val="single" w:color="000000"/>
        </w:rPr>
        <w:t>Vitamin Highlights Across the Life Cycle - Fat-soluble</w:t>
      </w:r>
      <w:r>
        <w:rPr>
          <w:b/>
          <w:sz w:val="36"/>
        </w:rPr>
        <w:t xml:space="preserve">  </w:t>
      </w:r>
    </w:p>
    <w:p w14:paraId="0D1383BB" w14:textId="77777777" w:rsidR="00F57D19" w:rsidRDefault="00000000">
      <w:pPr>
        <w:spacing w:line="238" w:lineRule="auto"/>
        <w:ind w:left="0" w:firstLine="0"/>
      </w:pPr>
      <w:r>
        <w:rPr>
          <w:i/>
          <w:u w:val="single" w:color="000000"/>
        </w:rPr>
        <w:t>(</w:t>
      </w:r>
      <w:proofErr w:type="gramStart"/>
      <w:r>
        <w:rPr>
          <w:i/>
          <w:u w:val="single" w:color="000000"/>
        </w:rPr>
        <w:t>this</w:t>
      </w:r>
      <w:proofErr w:type="gramEnd"/>
      <w:r>
        <w:rPr>
          <w:i/>
          <w:u w:val="single" w:color="000000"/>
        </w:rPr>
        <w:t xml:space="preserve"> handout will only go over certain vitamins/deficiencies that are likely to show up on the</w:t>
      </w:r>
      <w:r>
        <w:rPr>
          <w:i/>
        </w:rPr>
        <w:t xml:space="preserve"> </w:t>
      </w:r>
      <w:r>
        <w:rPr>
          <w:i/>
          <w:u w:val="single" w:color="000000"/>
        </w:rPr>
        <w:t>exam - refer to the lecture slides for a more complete list)</w:t>
      </w:r>
      <w:r>
        <w:rPr>
          <w:i/>
        </w:rPr>
        <w:t xml:space="preserve"> </w:t>
      </w:r>
    </w:p>
    <w:p w14:paraId="40B14984" w14:textId="77777777" w:rsidR="00F57D19" w:rsidRDefault="00000000">
      <w:pPr>
        <w:spacing w:after="0" w:line="259" w:lineRule="auto"/>
        <w:ind w:left="0" w:firstLine="0"/>
      </w:pPr>
      <w:r>
        <w:rPr>
          <w:b/>
        </w:rPr>
        <w:t xml:space="preserve"> </w:t>
      </w:r>
    </w:p>
    <w:p w14:paraId="6C5E29B6" w14:textId="77777777" w:rsidR="00F57D19" w:rsidRDefault="00000000">
      <w:pPr>
        <w:ind w:left="-5"/>
      </w:pPr>
      <w:r>
        <w:rPr>
          <w:b/>
          <w:u w:val="single" w:color="000000"/>
        </w:rPr>
        <w:t>Vitamin D</w:t>
      </w:r>
      <w:r>
        <w:t xml:space="preserve"> -</w:t>
      </w:r>
      <w:r>
        <w:rPr>
          <w:b/>
          <w:u w:val="single" w:color="4472C4"/>
        </w:rPr>
        <w:t xml:space="preserve"> </w:t>
      </w:r>
      <w:r>
        <w:rPr>
          <w:b/>
          <w:color w:val="4472C4"/>
          <w:u w:val="single" w:color="4472C4"/>
        </w:rPr>
        <w:t>Vitamin D is very important for bone health and immune function</w:t>
      </w:r>
      <w:r>
        <w:t xml:space="preserve">, among many other things. It functions in the regulation of calcium and phosphorous metabolism. It is relatively difficult to obtain from non-fortified food sources, and a primary source for humans is a conversion that occurs with </w:t>
      </w:r>
      <w:r>
        <w:rPr>
          <w:b/>
          <w:color w:val="4472C4"/>
          <w:u w:val="single" w:color="4472C4"/>
        </w:rPr>
        <w:t xml:space="preserve">sunlight </w:t>
      </w:r>
      <w:r>
        <w:t xml:space="preserve">on the skin.  </w:t>
      </w:r>
    </w:p>
    <w:p w14:paraId="7373265F" w14:textId="77777777" w:rsidR="00F57D19" w:rsidRDefault="00000000">
      <w:pPr>
        <w:spacing w:after="0" w:line="259" w:lineRule="auto"/>
        <w:ind w:left="0" w:firstLine="0"/>
      </w:pPr>
      <w:r>
        <w:t xml:space="preserve"> </w:t>
      </w:r>
    </w:p>
    <w:p w14:paraId="23940313" w14:textId="77777777" w:rsidR="00F57D19" w:rsidRDefault="00000000">
      <w:pPr>
        <w:spacing w:after="116" w:line="241" w:lineRule="auto"/>
        <w:ind w:left="0" w:firstLine="0"/>
      </w:pPr>
      <w:r>
        <w:lastRenderedPageBreak/>
        <w:t xml:space="preserve">Vitamin D deficiency is one of the most common deficiencies, affecting several unique populations. </w:t>
      </w:r>
      <w:r>
        <w:rPr>
          <w:b/>
          <w:color w:val="4472C4"/>
          <w:u w:val="single" w:color="4472C4"/>
        </w:rPr>
        <w:t xml:space="preserve">Deficiency states are common in the elderly, causing osteoporosis. </w:t>
      </w:r>
      <w:r>
        <w:t>Deficiency in</w:t>
      </w:r>
      <w:r>
        <w:rPr>
          <w:b/>
        </w:rPr>
        <w:t xml:space="preserve"> </w:t>
      </w:r>
      <w:r>
        <w:rPr>
          <w:b/>
          <w:color w:val="4472C4"/>
          <w:u w:val="single" w:color="4472C4"/>
        </w:rPr>
        <w:t>young children lead to Rickets</w:t>
      </w:r>
      <w:r>
        <w:rPr>
          <w:b/>
          <w:color w:val="4472C4"/>
        </w:rPr>
        <w:t xml:space="preserve">, </w:t>
      </w:r>
      <w:r>
        <w:rPr>
          <w:color w:val="4472C4"/>
        </w:rPr>
        <w:t xml:space="preserve">a condition which causes growth abnormalities. Other at-risk populations include individuals with darker skin, kidney disease, liver disease, GI diseases, and breast-fed infants. </w:t>
      </w:r>
    </w:p>
    <w:p w14:paraId="0046AD6C" w14:textId="77777777" w:rsidR="00F57D19" w:rsidRDefault="00000000">
      <w:pPr>
        <w:spacing w:after="0" w:line="259" w:lineRule="auto"/>
        <w:ind w:left="0" w:firstLine="0"/>
      </w:pPr>
      <w:r>
        <w:rPr>
          <w:b/>
          <w:sz w:val="36"/>
        </w:rPr>
        <w:t xml:space="preserve"> </w:t>
      </w:r>
    </w:p>
    <w:p w14:paraId="3277C095" w14:textId="77777777" w:rsidR="00F57D19" w:rsidRDefault="00000000">
      <w:pPr>
        <w:spacing w:after="0" w:line="259" w:lineRule="auto"/>
        <w:ind w:left="-5"/>
      </w:pPr>
      <w:r>
        <w:rPr>
          <w:b/>
          <w:sz w:val="36"/>
          <w:u w:val="single" w:color="000000"/>
        </w:rPr>
        <w:t>Vitamin Highlights Across the Life Cycle - Water-soluble:</w:t>
      </w:r>
      <w:r>
        <w:rPr>
          <w:b/>
          <w:sz w:val="28"/>
        </w:rPr>
        <w:t xml:space="preserve"> </w:t>
      </w:r>
    </w:p>
    <w:p w14:paraId="3723DE63" w14:textId="77777777" w:rsidR="00F57D19" w:rsidRDefault="00000000">
      <w:pPr>
        <w:spacing w:after="0" w:line="259" w:lineRule="auto"/>
        <w:ind w:left="0" w:firstLine="0"/>
      </w:pPr>
      <w:r>
        <w:t xml:space="preserve"> </w:t>
      </w:r>
    </w:p>
    <w:p w14:paraId="76173E0C" w14:textId="77777777" w:rsidR="00F57D19" w:rsidRDefault="00000000">
      <w:pPr>
        <w:ind w:left="-5"/>
      </w:pPr>
      <w:r>
        <w:rPr>
          <w:b/>
          <w:u w:val="single" w:color="000000"/>
        </w:rPr>
        <w:t>Vitamin B3 (Niacin)</w:t>
      </w:r>
      <w:r>
        <w:t xml:space="preserve"> - Niacin is found in 2 forms, nicotinic acid, and nicotinamide. Its primary function is to assist in the release of energy from macronutrients.</w:t>
      </w:r>
      <w:r>
        <w:rPr>
          <w:b/>
          <w:color w:val="4472C4"/>
          <w:u w:val="single" w:color="4472C4"/>
        </w:rPr>
        <w:t xml:space="preserve"> Niacin Deficiency can cause</w:t>
      </w:r>
      <w:r>
        <w:rPr>
          <w:b/>
          <w:color w:val="4472C4"/>
        </w:rPr>
        <w:t xml:space="preserve"> </w:t>
      </w:r>
      <w:r>
        <w:rPr>
          <w:b/>
          <w:color w:val="4472C4"/>
          <w:u w:val="single" w:color="4472C4"/>
        </w:rPr>
        <w:t>pellagra</w:t>
      </w:r>
      <w:r>
        <w:t>, a condition that is remembered for board exams by the “4 D’s” - Dermatitis, diarrhea, dementia, death (</w:t>
      </w:r>
      <w:r>
        <w:rPr>
          <w:i/>
        </w:rPr>
        <w:t>do not memorize</w:t>
      </w:r>
      <w:r>
        <w:t xml:space="preserve">). </w:t>
      </w:r>
      <w:r>
        <w:rPr>
          <w:b/>
          <w:color w:val="4472C4"/>
          <w:u w:val="single" w:color="4472C4"/>
        </w:rPr>
        <w:t>Niacin is also a rare water-soluble vitamin that can cause</w:t>
      </w:r>
      <w:r>
        <w:rPr>
          <w:b/>
          <w:color w:val="4472C4"/>
        </w:rPr>
        <w:t xml:space="preserve"> </w:t>
      </w:r>
      <w:r>
        <w:rPr>
          <w:b/>
          <w:color w:val="4472C4"/>
          <w:u w:val="single" w:color="4472C4"/>
        </w:rPr>
        <w:t>toxicities at higher doses</w:t>
      </w:r>
      <w:r>
        <w:t xml:space="preserve">. Nicotinic acid used to be given to patients to help lower LDL </w:t>
      </w:r>
      <w:proofErr w:type="gramStart"/>
      <w:r>
        <w:t>levels, but</w:t>
      </w:r>
      <w:proofErr w:type="gramEnd"/>
      <w:r>
        <w:t xml:space="preserve"> is no longer recommended due to these toxicities. </w:t>
      </w:r>
    </w:p>
    <w:p w14:paraId="74B45A80" w14:textId="77777777" w:rsidR="00F57D19" w:rsidRDefault="00000000">
      <w:pPr>
        <w:spacing w:after="0" w:line="259" w:lineRule="auto"/>
        <w:ind w:left="0" w:firstLine="0"/>
      </w:pPr>
      <w:r>
        <w:t xml:space="preserve"> </w:t>
      </w:r>
    </w:p>
    <w:p w14:paraId="4600E25A" w14:textId="77777777" w:rsidR="00F57D19" w:rsidRDefault="00000000">
      <w:pPr>
        <w:ind w:left="-5"/>
      </w:pPr>
      <w:r>
        <w:rPr>
          <w:b/>
          <w:u w:val="single" w:color="000000"/>
        </w:rPr>
        <w:t>Vitamin B6 (Pyridoxine)</w:t>
      </w:r>
      <w:r>
        <w:t xml:space="preserve"> - </w:t>
      </w:r>
      <w:r>
        <w:rPr>
          <w:b/>
          <w:color w:val="4472C4"/>
          <w:u w:val="single" w:color="4472C4"/>
        </w:rPr>
        <w:t>Pyridoxine is another rare water-soluble vitamin that can be toxic at</w:t>
      </w:r>
      <w:r>
        <w:rPr>
          <w:b/>
          <w:color w:val="4472C4"/>
        </w:rPr>
        <w:t xml:space="preserve"> </w:t>
      </w:r>
      <w:r>
        <w:rPr>
          <w:b/>
          <w:color w:val="4472C4"/>
          <w:u w:val="single" w:color="4472C4"/>
        </w:rPr>
        <w:t>higher doses</w:t>
      </w:r>
      <w:r>
        <w:t xml:space="preserve">. Women can take this during pregnancy to relieve nausea symptoms in appropriate amounts (10-25 mg three times a day) with no ill effects to the fetus. In appropriate amounts (no more than 100 mg/day) it may help with relieve premenstrual syndrome (PMS) symptoms. </w:t>
      </w:r>
      <w:proofErr w:type="gramStart"/>
      <w:r>
        <w:t>However,  at</w:t>
      </w:r>
      <w:proofErr w:type="gramEnd"/>
      <w:r>
        <w:t xml:space="preserve"> too high of levels, it  may cause sensory neuropathy (walking difficulties, hand/foot numbness).  </w:t>
      </w:r>
    </w:p>
    <w:p w14:paraId="2AF8684B" w14:textId="77777777" w:rsidR="00F57D19" w:rsidRDefault="00000000">
      <w:pPr>
        <w:spacing w:after="0" w:line="259" w:lineRule="auto"/>
        <w:ind w:left="0" w:firstLine="0"/>
      </w:pPr>
      <w:r>
        <w:rPr>
          <w:b/>
        </w:rPr>
        <w:t xml:space="preserve"> </w:t>
      </w:r>
    </w:p>
    <w:p w14:paraId="16C5D7AC" w14:textId="77777777" w:rsidR="00F57D19" w:rsidRDefault="00000000">
      <w:pPr>
        <w:spacing w:after="4" w:line="240" w:lineRule="auto"/>
        <w:ind w:left="0" w:firstLine="0"/>
      </w:pPr>
      <w:r>
        <w:rPr>
          <w:rFonts w:ascii="Times New Roman" w:eastAsia="Times New Roman" w:hAnsi="Times New Roman" w:cs="Times New Roman"/>
          <w:b/>
          <w:u w:val="single" w:color="000000"/>
        </w:rPr>
        <w:t xml:space="preserve">Vitamin B12 (Cobalamin) - </w:t>
      </w:r>
      <w:r>
        <w:rPr>
          <w:rFonts w:ascii="Times New Roman" w:eastAsia="Times New Roman" w:hAnsi="Times New Roman" w:cs="Times New Roman"/>
        </w:rPr>
        <w:t xml:space="preserve">Vitamin B12 assists in hemoglobin production, among other important functions. </w:t>
      </w:r>
      <w:r>
        <w:rPr>
          <w:rFonts w:ascii="Times New Roman" w:eastAsia="Times New Roman" w:hAnsi="Times New Roman" w:cs="Times New Roman"/>
          <w:b/>
          <w:color w:val="4472C4"/>
          <w:u w:val="single" w:color="4472C4"/>
        </w:rPr>
        <w:t>Vitamin B12 deficiency can therefore lead to anemia</w:t>
      </w:r>
      <w:r>
        <w:rPr>
          <w:rFonts w:ascii="Times New Roman" w:eastAsia="Times New Roman" w:hAnsi="Times New Roman" w:cs="Times New Roman"/>
        </w:rPr>
        <w:t xml:space="preserve">. This is much </w:t>
      </w:r>
      <w:r>
        <w:rPr>
          <w:rFonts w:ascii="Times New Roman" w:eastAsia="Times New Roman" w:hAnsi="Times New Roman" w:cs="Times New Roman"/>
          <w:b/>
          <w:color w:val="4472C4"/>
          <w:u w:val="single" w:color="4472C4"/>
        </w:rPr>
        <w:t>more</w:t>
      </w:r>
      <w:r>
        <w:rPr>
          <w:rFonts w:ascii="Times New Roman" w:eastAsia="Times New Roman" w:hAnsi="Times New Roman" w:cs="Times New Roman"/>
          <w:b/>
          <w:color w:val="4472C4"/>
        </w:rPr>
        <w:t xml:space="preserve"> </w:t>
      </w:r>
      <w:r>
        <w:rPr>
          <w:rFonts w:ascii="Times New Roman" w:eastAsia="Times New Roman" w:hAnsi="Times New Roman" w:cs="Times New Roman"/>
          <w:b/>
          <w:color w:val="4472C4"/>
          <w:u w:val="single" w:color="4472C4"/>
        </w:rPr>
        <w:t>common among vegans and vegetarians</w:t>
      </w:r>
      <w:r>
        <w:rPr>
          <w:rFonts w:ascii="Times New Roman" w:eastAsia="Times New Roman" w:hAnsi="Times New Roman" w:cs="Times New Roman"/>
        </w:rPr>
        <w:t xml:space="preserve">, since this vitamin is almost exclusively found in </w:t>
      </w:r>
      <w:proofErr w:type="gramStart"/>
      <w:r>
        <w:rPr>
          <w:rFonts w:ascii="Times New Roman" w:eastAsia="Times New Roman" w:hAnsi="Times New Roman" w:cs="Times New Roman"/>
        </w:rPr>
        <w:t>animal</w:t>
      </w:r>
      <w:proofErr w:type="gramEnd"/>
      <w:r>
        <w:rPr>
          <w:rFonts w:ascii="Times New Roman" w:eastAsia="Times New Roman" w:hAnsi="Times New Roman" w:cs="Times New Roman"/>
        </w:rPr>
        <w:t xml:space="preserve"> </w:t>
      </w:r>
      <w:r>
        <w:rPr>
          <w:sz w:val="21"/>
        </w:rPr>
        <w:t xml:space="preserve"> </w:t>
      </w:r>
    </w:p>
    <w:p w14:paraId="3EEF8D78" w14:textId="77777777" w:rsidR="00F57D19" w:rsidRDefault="00000000">
      <w:pPr>
        <w:spacing w:after="0" w:line="259" w:lineRule="auto"/>
        <w:ind w:left="0" w:firstLine="0"/>
      </w:pPr>
      <w:r>
        <w:t xml:space="preserve"> </w:t>
      </w:r>
    </w:p>
    <w:p w14:paraId="0712FFFA" w14:textId="77777777" w:rsidR="00F57D19" w:rsidRDefault="00000000">
      <w:pPr>
        <w:ind w:left="-5"/>
      </w:pPr>
      <w:r>
        <w:rPr>
          <w:b/>
          <w:u w:val="single" w:color="000000"/>
        </w:rPr>
        <w:t>Vitamin B9 (folate)</w:t>
      </w:r>
      <w:r>
        <w:rPr>
          <w:b/>
        </w:rPr>
        <w:t xml:space="preserve"> </w:t>
      </w:r>
      <w:r>
        <w:t xml:space="preserve">- Folate is an important vitamin involved in embryonic development of the neural tube. </w:t>
      </w:r>
      <w:r>
        <w:rPr>
          <w:b/>
          <w:color w:val="4472C4"/>
          <w:u w:val="single" w:color="4472C4"/>
        </w:rPr>
        <w:t>Folate deficiency during pregnancy can result in neural tube defects</w:t>
      </w:r>
      <w:r>
        <w:t xml:space="preserve">, such as spina bifida.   </w:t>
      </w:r>
    </w:p>
    <w:p w14:paraId="7EF2C2F4" w14:textId="77777777" w:rsidR="00F57D19" w:rsidRDefault="00000000">
      <w:pPr>
        <w:spacing w:after="54" w:line="259" w:lineRule="auto"/>
        <w:ind w:left="0" w:firstLine="0"/>
      </w:pPr>
      <w:r>
        <w:t xml:space="preserve"> </w:t>
      </w:r>
    </w:p>
    <w:p w14:paraId="422E0021" w14:textId="77777777" w:rsidR="00F57D19" w:rsidRDefault="00000000">
      <w:pPr>
        <w:spacing w:after="0" w:line="259" w:lineRule="auto"/>
        <w:ind w:left="-5"/>
      </w:pPr>
      <w:r>
        <w:rPr>
          <w:b/>
          <w:sz w:val="32"/>
          <w:u w:val="single" w:color="000000"/>
        </w:rPr>
        <w:t>Mineral Highlights Across the Life cycle:</w:t>
      </w:r>
      <w:r>
        <w:rPr>
          <w:b/>
          <w:sz w:val="32"/>
        </w:rPr>
        <w:t xml:space="preserve"> </w:t>
      </w:r>
    </w:p>
    <w:p w14:paraId="79C7C4A2" w14:textId="77777777" w:rsidR="00F57D19" w:rsidRDefault="00000000">
      <w:pPr>
        <w:spacing w:after="0" w:line="259" w:lineRule="auto"/>
        <w:ind w:left="0" w:firstLine="0"/>
      </w:pPr>
      <w:r>
        <w:rPr>
          <w:b/>
          <w:sz w:val="32"/>
        </w:rPr>
        <w:t xml:space="preserve"> </w:t>
      </w:r>
    </w:p>
    <w:p w14:paraId="7FCF6219" w14:textId="77777777" w:rsidR="00F57D19" w:rsidRDefault="00000000">
      <w:pPr>
        <w:spacing w:after="2" w:line="240" w:lineRule="auto"/>
        <w:ind w:left="0" w:firstLine="0"/>
      </w:pPr>
      <w:r>
        <w:rPr>
          <w:b/>
          <w:u w:val="single" w:color="000000"/>
        </w:rPr>
        <w:t>Iron -</w:t>
      </w:r>
      <w:r>
        <w:t xml:space="preserve"> Iron is essential for blood production, as well as oxygen transfer from blood to tissues. </w:t>
      </w:r>
      <w:r>
        <w:rPr>
          <w:b/>
          <w:color w:val="4472C4"/>
          <w:u w:val="single" w:color="4472C4"/>
        </w:rPr>
        <w:t>Iron Deficiency is the leading source of Anemia worldwide (Iron Deficiency Anemia)</w:t>
      </w:r>
      <w:r>
        <w:t xml:space="preserve">. </w:t>
      </w:r>
      <w:r>
        <w:rPr>
          <w:color w:val="4472C4"/>
          <w:u w:val="single" w:color="4472C4"/>
        </w:rPr>
        <w:t>At-risk</w:t>
      </w:r>
      <w:r>
        <w:rPr>
          <w:color w:val="4472C4"/>
        </w:rPr>
        <w:t xml:space="preserve"> </w:t>
      </w:r>
      <w:r>
        <w:rPr>
          <w:color w:val="4472C4"/>
          <w:u w:val="single" w:color="4472C4"/>
        </w:rPr>
        <w:t>populations include infants/young children, pregnant women, women with heavy</w:t>
      </w:r>
      <w:r>
        <w:rPr>
          <w:color w:val="4472C4"/>
        </w:rPr>
        <w:t xml:space="preserve"> </w:t>
      </w:r>
      <w:r>
        <w:rPr>
          <w:color w:val="4472C4"/>
          <w:u w:val="single" w:color="4472C4"/>
        </w:rPr>
        <w:t>menstruation, and the elderly.</w:t>
      </w:r>
      <w:r>
        <w:rPr>
          <w:color w:val="4472C4"/>
        </w:rPr>
        <w:t xml:space="preserve"> </w:t>
      </w:r>
    </w:p>
    <w:p w14:paraId="51F364F9" w14:textId="77777777" w:rsidR="00F57D19" w:rsidRDefault="00000000">
      <w:pPr>
        <w:spacing w:after="94" w:line="259" w:lineRule="auto"/>
        <w:ind w:left="0" w:firstLine="0"/>
      </w:pPr>
      <w:r>
        <w:t xml:space="preserve"> </w:t>
      </w:r>
    </w:p>
    <w:p w14:paraId="01758318" w14:textId="77777777" w:rsidR="00F57D19" w:rsidRDefault="00000000">
      <w:pPr>
        <w:spacing w:after="0" w:line="259" w:lineRule="auto"/>
        <w:ind w:left="-5"/>
      </w:pPr>
      <w:r>
        <w:rPr>
          <w:b/>
          <w:sz w:val="36"/>
          <w:u w:val="single" w:color="000000"/>
        </w:rPr>
        <w:t>Micronutrient Considerations for Special Populations</w:t>
      </w:r>
      <w:r>
        <w:rPr>
          <w:i/>
          <w:sz w:val="28"/>
          <w:u w:val="single" w:color="000000"/>
        </w:rPr>
        <w:t>:</w:t>
      </w:r>
      <w:r>
        <w:rPr>
          <w:b/>
          <w:sz w:val="32"/>
        </w:rPr>
        <w:t xml:space="preserve"> </w:t>
      </w:r>
    </w:p>
    <w:p w14:paraId="1432F302" w14:textId="77777777" w:rsidR="00F57D19" w:rsidRDefault="00000000">
      <w:pPr>
        <w:spacing w:after="0" w:line="259" w:lineRule="auto"/>
        <w:ind w:left="0" w:firstLine="0"/>
      </w:pPr>
      <w:r>
        <w:t xml:space="preserve"> </w:t>
      </w:r>
    </w:p>
    <w:p w14:paraId="01A14B8E" w14:textId="77777777" w:rsidR="00F57D19" w:rsidRDefault="00000000">
      <w:pPr>
        <w:numPr>
          <w:ilvl w:val="0"/>
          <w:numId w:val="2"/>
        </w:numPr>
        <w:spacing w:after="4" w:line="240" w:lineRule="auto"/>
        <w:ind w:hanging="270"/>
      </w:pPr>
      <w:r>
        <w:rPr>
          <w:rFonts w:ascii="Times New Roman" w:eastAsia="Times New Roman" w:hAnsi="Times New Roman" w:cs="Times New Roman"/>
          <w:b/>
          <w:color w:val="4472C4"/>
          <w:u w:val="single" w:color="4472C4"/>
        </w:rPr>
        <w:lastRenderedPageBreak/>
        <w:t>People with alcohol abuse disorder</w:t>
      </w:r>
      <w:r>
        <w:rPr>
          <w:rFonts w:ascii="Times New Roman" w:eastAsia="Times New Roman" w:hAnsi="Times New Roman" w:cs="Times New Roman"/>
          <w:color w:val="4472C4"/>
        </w:rPr>
        <w:t xml:space="preserve"> </w:t>
      </w:r>
      <w:r>
        <w:rPr>
          <w:rFonts w:ascii="Times New Roman" w:eastAsia="Times New Roman" w:hAnsi="Times New Roman" w:cs="Times New Roman"/>
        </w:rPr>
        <w:t xml:space="preserve">are at increased risk of various micronutrient deficiencies and are often deficient in several. The </w:t>
      </w:r>
      <w:r>
        <w:rPr>
          <w:rFonts w:ascii="Times New Roman" w:eastAsia="Times New Roman" w:hAnsi="Times New Roman" w:cs="Times New Roman"/>
          <w:b/>
          <w:color w:val="4472C4"/>
          <w:u w:val="single" w:color="4472C4"/>
        </w:rPr>
        <w:t>most common deficiency is</w:t>
      </w:r>
      <w:r>
        <w:rPr>
          <w:rFonts w:ascii="Times New Roman" w:eastAsia="Times New Roman" w:hAnsi="Times New Roman" w:cs="Times New Roman"/>
          <w:b/>
          <w:color w:val="4472C4"/>
        </w:rPr>
        <w:t xml:space="preserve"> </w:t>
      </w:r>
      <w:r>
        <w:rPr>
          <w:rFonts w:ascii="Times New Roman" w:eastAsia="Times New Roman" w:hAnsi="Times New Roman" w:cs="Times New Roman"/>
          <w:b/>
          <w:color w:val="4472C4"/>
          <w:u w:val="single" w:color="4472C4"/>
        </w:rPr>
        <w:t>thiamine (B1),</w:t>
      </w:r>
      <w:r>
        <w:rPr>
          <w:rFonts w:ascii="Times New Roman" w:eastAsia="Times New Roman" w:hAnsi="Times New Roman" w:cs="Times New Roman"/>
          <w:color w:val="4472C4"/>
        </w:rPr>
        <w:t xml:space="preserve"> </w:t>
      </w:r>
      <w:r>
        <w:rPr>
          <w:rFonts w:ascii="Times New Roman" w:eastAsia="Times New Roman" w:hAnsi="Times New Roman" w:cs="Times New Roman"/>
        </w:rPr>
        <w:t xml:space="preserve">as body stores are depleted within 4 weeks. This can lead to wet </w:t>
      </w:r>
      <w:r>
        <w:rPr>
          <w:rFonts w:ascii="Times New Roman" w:eastAsia="Times New Roman" w:hAnsi="Times New Roman" w:cs="Times New Roman"/>
          <w:b/>
          <w:color w:val="4472C4"/>
          <w:u w:val="single" w:color="4472C4"/>
        </w:rPr>
        <w:t>Beri</w:t>
      </w:r>
      <w:r>
        <w:rPr>
          <w:rFonts w:ascii="Times New Roman" w:eastAsia="Times New Roman" w:hAnsi="Times New Roman" w:cs="Times New Roman"/>
          <w:b/>
          <w:color w:val="4472C4"/>
        </w:rPr>
        <w:t xml:space="preserve"> </w:t>
      </w:r>
      <w:proofErr w:type="spellStart"/>
      <w:r>
        <w:rPr>
          <w:rFonts w:ascii="Times New Roman" w:eastAsia="Times New Roman" w:hAnsi="Times New Roman" w:cs="Times New Roman"/>
          <w:b/>
          <w:color w:val="4472C4"/>
          <w:u w:val="single" w:color="4472C4"/>
        </w:rPr>
        <w:t>Beri</w:t>
      </w:r>
      <w:proofErr w:type="spellEnd"/>
      <w:r>
        <w:rPr>
          <w:rFonts w:ascii="Times New Roman" w:eastAsia="Times New Roman" w:hAnsi="Times New Roman" w:cs="Times New Roman"/>
          <w:color w:val="4472C4"/>
        </w:rPr>
        <w:t xml:space="preserve"> </w:t>
      </w:r>
      <w:r>
        <w:rPr>
          <w:rFonts w:ascii="Times New Roman" w:eastAsia="Times New Roman" w:hAnsi="Times New Roman" w:cs="Times New Roman"/>
        </w:rPr>
        <w:t xml:space="preserve">(cardiac) or dry Beri </w:t>
      </w:r>
      <w:proofErr w:type="spellStart"/>
      <w:r>
        <w:rPr>
          <w:rFonts w:ascii="Times New Roman" w:eastAsia="Times New Roman" w:hAnsi="Times New Roman" w:cs="Times New Roman"/>
        </w:rPr>
        <w:t>Beri</w:t>
      </w:r>
      <w:proofErr w:type="spellEnd"/>
      <w:r>
        <w:rPr>
          <w:rFonts w:ascii="Times New Roman" w:eastAsia="Times New Roman" w:hAnsi="Times New Roman" w:cs="Times New Roman"/>
        </w:rPr>
        <w:t xml:space="preserve"> (neurologic). </w:t>
      </w:r>
    </w:p>
    <w:p w14:paraId="23DC2B91" w14:textId="77777777" w:rsidR="00F57D19" w:rsidRDefault="00000000">
      <w:pPr>
        <w:spacing w:after="0" w:line="259" w:lineRule="auto"/>
        <w:ind w:left="0" w:firstLine="0"/>
      </w:pPr>
      <w:r>
        <w:t xml:space="preserve"> </w:t>
      </w:r>
    </w:p>
    <w:p w14:paraId="50801282" w14:textId="77777777" w:rsidR="00F57D19" w:rsidRDefault="00000000">
      <w:pPr>
        <w:numPr>
          <w:ilvl w:val="0"/>
          <w:numId w:val="2"/>
        </w:numPr>
        <w:spacing w:after="4" w:line="240" w:lineRule="auto"/>
        <w:ind w:hanging="270"/>
      </w:pPr>
      <w:r>
        <w:rPr>
          <w:rFonts w:ascii="Times New Roman" w:eastAsia="Times New Roman" w:hAnsi="Times New Roman" w:cs="Times New Roman"/>
          <w:b/>
          <w:color w:val="4472C4"/>
          <w:u w:val="single" w:color="4472C4"/>
        </w:rPr>
        <w:t>Patients with bariatric surgery are another especially vulnerable population, and</w:t>
      </w:r>
      <w:r>
        <w:rPr>
          <w:rFonts w:ascii="Times New Roman" w:eastAsia="Times New Roman" w:hAnsi="Times New Roman" w:cs="Times New Roman"/>
          <w:b/>
          <w:color w:val="4472C4"/>
        </w:rPr>
        <w:t xml:space="preserve"> </w:t>
      </w:r>
      <w:r>
        <w:rPr>
          <w:rFonts w:ascii="Times New Roman" w:eastAsia="Times New Roman" w:hAnsi="Times New Roman" w:cs="Times New Roman"/>
          <w:b/>
          <w:color w:val="4472C4"/>
          <w:u w:val="single" w:color="4472C4"/>
        </w:rPr>
        <w:t>often develop multiple deficiencies.</w:t>
      </w:r>
      <w:r>
        <w:rPr>
          <w:rFonts w:ascii="Times New Roman" w:eastAsia="Times New Roman" w:hAnsi="Times New Roman" w:cs="Times New Roman"/>
        </w:rPr>
        <w:t xml:space="preserve"> This is because the Roux-en-Y procedure (gold standard) bypasses the stomach and much of the duodenum, where a significant amount of nutrient absorption normally occurs. </w:t>
      </w:r>
      <w:r>
        <w:rPr>
          <w:rFonts w:ascii="Times New Roman" w:eastAsia="Times New Roman" w:hAnsi="Times New Roman" w:cs="Times New Roman"/>
          <w:color w:val="4472C4"/>
        </w:rPr>
        <w:t xml:space="preserve">The most common deficiencies in these patients include vitamin D (up to 80% of patients) and Iron (anemia).  </w:t>
      </w:r>
    </w:p>
    <w:p w14:paraId="5C52F518" w14:textId="77777777" w:rsidR="00F57D19" w:rsidRDefault="00000000">
      <w:pPr>
        <w:spacing w:after="0" w:line="259" w:lineRule="auto"/>
        <w:ind w:left="0" w:firstLine="0"/>
      </w:pPr>
      <w:r>
        <w:rPr>
          <w:b/>
          <w:color w:val="4472C4"/>
        </w:rPr>
        <w:t xml:space="preserve"> </w:t>
      </w:r>
    </w:p>
    <w:p w14:paraId="75917AD3" w14:textId="77777777" w:rsidR="00F57D19" w:rsidRDefault="00000000">
      <w:pPr>
        <w:numPr>
          <w:ilvl w:val="0"/>
          <w:numId w:val="2"/>
        </w:numPr>
        <w:spacing w:after="4" w:line="240" w:lineRule="auto"/>
        <w:ind w:hanging="270"/>
      </w:pPr>
      <w:r>
        <w:rPr>
          <w:rFonts w:ascii="Times New Roman" w:eastAsia="Times New Roman" w:hAnsi="Times New Roman" w:cs="Times New Roman"/>
          <w:b/>
          <w:color w:val="4472C4"/>
          <w:u w:val="single" w:color="4472C4"/>
        </w:rPr>
        <w:t xml:space="preserve">Vegan/Vegetarian patients </w:t>
      </w:r>
      <w:r>
        <w:rPr>
          <w:rFonts w:ascii="Times New Roman" w:eastAsia="Times New Roman" w:hAnsi="Times New Roman" w:cs="Times New Roman"/>
        </w:rPr>
        <w:t>are at increased risk of various deficiencies because several micronutrients are more abundant in animal-based foods. The most prevalent deficiency is</w:t>
      </w:r>
      <w:r>
        <w:rPr>
          <w:rFonts w:ascii="Times New Roman" w:eastAsia="Times New Roman" w:hAnsi="Times New Roman" w:cs="Times New Roman"/>
          <w:color w:val="4472C4"/>
        </w:rPr>
        <w:t xml:space="preserve"> </w:t>
      </w:r>
      <w:r>
        <w:rPr>
          <w:rFonts w:ascii="Times New Roman" w:eastAsia="Times New Roman" w:hAnsi="Times New Roman" w:cs="Times New Roman"/>
          <w:b/>
          <w:color w:val="4472C4"/>
          <w:u w:val="single" w:color="4472C4"/>
        </w:rPr>
        <w:t>Vitamin B12 (causes anemia, mentioned above)</w:t>
      </w:r>
      <w:r>
        <w:rPr>
          <w:rFonts w:ascii="Times New Roman" w:eastAsia="Times New Roman" w:hAnsi="Times New Roman" w:cs="Times New Roman"/>
          <w:color w:val="4472C4"/>
        </w:rPr>
        <w:t xml:space="preserve">, </w:t>
      </w:r>
      <w:r>
        <w:rPr>
          <w:rFonts w:ascii="Times New Roman" w:eastAsia="Times New Roman" w:hAnsi="Times New Roman" w:cs="Times New Roman"/>
        </w:rPr>
        <w:t xml:space="preserve">which is found almost exclusively in animal-based foods. This can easily be obtained through fortified foods (cereals, plant-milk, nutritional yeast), or though supplements. </w:t>
      </w:r>
    </w:p>
    <w:p w14:paraId="6921DA13" w14:textId="77777777" w:rsidR="00F57D19" w:rsidRDefault="00000000">
      <w:pPr>
        <w:spacing w:after="0" w:line="259" w:lineRule="auto"/>
        <w:ind w:left="721" w:firstLine="0"/>
      </w:pPr>
      <w:r>
        <w:rPr>
          <w:rFonts w:ascii="Times New Roman" w:eastAsia="Times New Roman" w:hAnsi="Times New Roman" w:cs="Times New Roman"/>
        </w:rPr>
        <w:t xml:space="preserve"> </w:t>
      </w:r>
    </w:p>
    <w:p w14:paraId="52B7FA9F" w14:textId="77777777" w:rsidR="00F57D19" w:rsidRDefault="00000000">
      <w:pPr>
        <w:numPr>
          <w:ilvl w:val="0"/>
          <w:numId w:val="2"/>
        </w:numPr>
        <w:spacing w:after="0" w:line="259" w:lineRule="auto"/>
        <w:ind w:hanging="270"/>
      </w:pPr>
      <w:r>
        <w:rPr>
          <w:rFonts w:ascii="Times New Roman" w:eastAsia="Times New Roman" w:hAnsi="Times New Roman" w:cs="Times New Roman"/>
        </w:rPr>
        <w:t xml:space="preserve">There are several </w:t>
      </w:r>
      <w:r>
        <w:rPr>
          <w:rFonts w:ascii="Times New Roman" w:eastAsia="Times New Roman" w:hAnsi="Times New Roman" w:cs="Times New Roman"/>
          <w:b/>
          <w:u w:val="single" w:color="000000"/>
        </w:rPr>
        <w:t>drug-nutrient interactions</w:t>
      </w:r>
      <w:r>
        <w:rPr>
          <w:rFonts w:ascii="Times New Roman" w:eastAsia="Times New Roman" w:hAnsi="Times New Roman" w:cs="Times New Roman"/>
        </w:rPr>
        <w:t xml:space="preserve"> that all clinicians should be aware of. </w:t>
      </w:r>
    </w:p>
    <w:p w14:paraId="771678EE" w14:textId="77777777" w:rsidR="00F57D19" w:rsidRDefault="00000000">
      <w:pPr>
        <w:spacing w:after="0" w:line="259" w:lineRule="auto"/>
        <w:ind w:left="721" w:firstLine="0"/>
      </w:pPr>
      <w:r>
        <w:rPr>
          <w:rFonts w:ascii="Times New Roman" w:eastAsia="Times New Roman" w:hAnsi="Times New Roman" w:cs="Times New Roman"/>
        </w:rPr>
        <w:t xml:space="preserve"> </w:t>
      </w:r>
    </w:p>
    <w:p w14:paraId="342A3421" w14:textId="77777777" w:rsidR="00F57D19" w:rsidRDefault="00000000">
      <w:pPr>
        <w:numPr>
          <w:ilvl w:val="1"/>
          <w:numId w:val="2"/>
        </w:numPr>
        <w:spacing w:after="4" w:line="240" w:lineRule="auto"/>
        <w:ind w:hanging="360"/>
      </w:pPr>
      <w:r>
        <w:rPr>
          <w:rFonts w:ascii="Times New Roman" w:eastAsia="Times New Roman" w:hAnsi="Times New Roman" w:cs="Times New Roman"/>
          <w:b/>
          <w:color w:val="4472C4"/>
          <w:u w:val="single" w:color="4472C4"/>
        </w:rPr>
        <w:t>Coumadin (Warfarin</w:t>
      </w:r>
      <w:r>
        <w:rPr>
          <w:rFonts w:ascii="Times New Roman" w:eastAsia="Times New Roman" w:hAnsi="Times New Roman" w:cs="Times New Roman"/>
          <w:b/>
          <w:u w:val="single" w:color="000000"/>
        </w:rPr>
        <w:t xml:space="preserve">) </w:t>
      </w:r>
      <w:r>
        <w:rPr>
          <w:rFonts w:ascii="Times New Roman" w:eastAsia="Times New Roman" w:hAnsi="Times New Roman" w:cs="Times New Roman"/>
          <w:u w:val="single" w:color="000000"/>
        </w:rPr>
        <w:t>works against the action of vitamin K</w:t>
      </w:r>
      <w:r>
        <w:rPr>
          <w:rFonts w:ascii="Times New Roman" w:eastAsia="Times New Roman" w:hAnsi="Times New Roman" w:cs="Times New Roman"/>
        </w:rPr>
        <w:t xml:space="preserve"> to prevent blood clots. Therefore, a </w:t>
      </w:r>
      <w:r>
        <w:rPr>
          <w:rFonts w:ascii="Times New Roman" w:eastAsia="Times New Roman" w:hAnsi="Times New Roman" w:cs="Times New Roman"/>
          <w:b/>
          <w:color w:val="4472C4"/>
          <w:u w:val="single" w:color="4472C4"/>
        </w:rPr>
        <w:t>consistent intake of vitamin K</w:t>
      </w:r>
      <w:r>
        <w:rPr>
          <w:rFonts w:ascii="Times New Roman" w:eastAsia="Times New Roman" w:hAnsi="Times New Roman" w:cs="Times New Roman"/>
        </w:rPr>
        <w:t xml:space="preserve"> is necessary to maintain effects of the drug.  </w:t>
      </w:r>
    </w:p>
    <w:p w14:paraId="521E9E98" w14:textId="77777777" w:rsidR="00F57D19" w:rsidRDefault="00000000">
      <w:pPr>
        <w:numPr>
          <w:ilvl w:val="1"/>
          <w:numId w:val="2"/>
        </w:numPr>
        <w:spacing w:after="4" w:line="240" w:lineRule="auto"/>
        <w:ind w:hanging="360"/>
      </w:pPr>
      <w:r>
        <w:rPr>
          <w:rFonts w:ascii="Times New Roman" w:eastAsia="Times New Roman" w:hAnsi="Times New Roman" w:cs="Times New Roman"/>
          <w:u w:val="single" w:color="000000"/>
        </w:rPr>
        <w:t>Metformin</w:t>
      </w:r>
      <w:r>
        <w:rPr>
          <w:rFonts w:ascii="Times New Roman" w:eastAsia="Times New Roman" w:hAnsi="Times New Roman" w:cs="Times New Roman"/>
        </w:rPr>
        <w:t xml:space="preserve"> (common medication for diabetics) </w:t>
      </w:r>
      <w:r>
        <w:rPr>
          <w:rFonts w:ascii="Times New Roman" w:eastAsia="Times New Roman" w:hAnsi="Times New Roman" w:cs="Times New Roman"/>
          <w:u w:val="single" w:color="000000"/>
        </w:rPr>
        <w:t>can cause a vitamin B12</w:t>
      </w:r>
      <w:r>
        <w:rPr>
          <w:rFonts w:ascii="Times New Roman" w:eastAsia="Times New Roman" w:hAnsi="Times New Roman" w:cs="Times New Roman"/>
        </w:rPr>
        <w:t xml:space="preserve"> </w:t>
      </w:r>
      <w:r>
        <w:rPr>
          <w:rFonts w:ascii="Times New Roman" w:eastAsia="Times New Roman" w:hAnsi="Times New Roman" w:cs="Times New Roman"/>
          <w:u w:val="single" w:color="000000"/>
        </w:rPr>
        <w:t>deficiency.</w:t>
      </w:r>
      <w:r>
        <w:rPr>
          <w:rFonts w:ascii="Times New Roman" w:eastAsia="Times New Roman" w:hAnsi="Times New Roman" w:cs="Times New Roman"/>
        </w:rPr>
        <w:t xml:space="preserve"> It is now recommended that patients monitor B12 levels every 6 months while taking the drug. </w:t>
      </w:r>
    </w:p>
    <w:p w14:paraId="7BB7076E" w14:textId="77777777" w:rsidR="00F57D19" w:rsidRDefault="00000000">
      <w:pPr>
        <w:numPr>
          <w:ilvl w:val="1"/>
          <w:numId w:val="2"/>
        </w:numPr>
        <w:spacing w:after="4" w:line="240" w:lineRule="auto"/>
        <w:ind w:hanging="360"/>
      </w:pPr>
      <w:r>
        <w:rPr>
          <w:rFonts w:ascii="Times New Roman" w:eastAsia="Times New Roman" w:hAnsi="Times New Roman" w:cs="Times New Roman"/>
          <w:u w:val="single" w:color="000000"/>
        </w:rPr>
        <w:t>Tetracyclines and Fluoroquinolones</w:t>
      </w:r>
      <w:r>
        <w:rPr>
          <w:rFonts w:ascii="Times New Roman" w:eastAsia="Times New Roman" w:hAnsi="Times New Roman" w:cs="Times New Roman"/>
        </w:rPr>
        <w:t xml:space="preserve"> (antibiotics) - absorption is disrupted by chelation with metallic cations (</w:t>
      </w:r>
      <w:r>
        <w:rPr>
          <w:rFonts w:ascii="Times New Roman" w:eastAsia="Times New Roman" w:hAnsi="Times New Roman" w:cs="Times New Roman"/>
          <w:u w:val="single" w:color="000000"/>
        </w:rPr>
        <w:t>iron, calcium, magnesium, aluminum</w:t>
      </w:r>
      <w:r>
        <w:rPr>
          <w:rFonts w:ascii="Times New Roman" w:eastAsia="Times New Roman" w:hAnsi="Times New Roman" w:cs="Times New Roman"/>
        </w:rPr>
        <w:t xml:space="preserve">). Patients should avoid consuming these within 4 hours of medication. </w:t>
      </w:r>
    </w:p>
    <w:p w14:paraId="37A4FB7A" w14:textId="77777777" w:rsidR="00F57D19" w:rsidRDefault="00000000">
      <w:pPr>
        <w:numPr>
          <w:ilvl w:val="1"/>
          <w:numId w:val="2"/>
        </w:numPr>
        <w:spacing w:after="4" w:line="240" w:lineRule="auto"/>
        <w:ind w:hanging="360"/>
      </w:pPr>
      <w:r>
        <w:rPr>
          <w:rFonts w:ascii="Times New Roman" w:eastAsia="Times New Roman" w:hAnsi="Times New Roman" w:cs="Times New Roman"/>
          <w:u w:val="single" w:color="000000"/>
        </w:rPr>
        <w:t>Isoniazid</w:t>
      </w:r>
      <w:r>
        <w:rPr>
          <w:rFonts w:ascii="Times New Roman" w:eastAsia="Times New Roman" w:hAnsi="Times New Roman" w:cs="Times New Roman"/>
        </w:rPr>
        <w:t xml:space="preserve"> (TB drug) lead to low levels of vitamin </w:t>
      </w:r>
      <w:r>
        <w:rPr>
          <w:rFonts w:ascii="Times New Roman" w:eastAsia="Times New Roman" w:hAnsi="Times New Roman" w:cs="Times New Roman"/>
          <w:u w:val="single" w:color="000000"/>
        </w:rPr>
        <w:t>B6</w:t>
      </w:r>
      <w:r>
        <w:rPr>
          <w:rFonts w:ascii="Times New Roman" w:eastAsia="Times New Roman" w:hAnsi="Times New Roman" w:cs="Times New Roman"/>
        </w:rPr>
        <w:t xml:space="preserve">. Supplements should be taken while on this drug. </w:t>
      </w:r>
    </w:p>
    <w:p w14:paraId="4F503C2E" w14:textId="77777777" w:rsidR="00F57D19" w:rsidRDefault="00000000">
      <w:pPr>
        <w:numPr>
          <w:ilvl w:val="1"/>
          <w:numId w:val="2"/>
        </w:numPr>
        <w:spacing w:after="4" w:line="240" w:lineRule="auto"/>
        <w:ind w:hanging="360"/>
      </w:pPr>
      <w:r>
        <w:rPr>
          <w:rFonts w:ascii="Times New Roman" w:eastAsia="Times New Roman" w:hAnsi="Times New Roman" w:cs="Times New Roman"/>
          <w:u w:val="single" w:color="000000"/>
        </w:rPr>
        <w:t>Methotrexate</w:t>
      </w:r>
      <w:r>
        <w:rPr>
          <w:rFonts w:ascii="Times New Roman" w:eastAsia="Times New Roman" w:hAnsi="Times New Roman" w:cs="Times New Roman"/>
        </w:rPr>
        <w:t xml:space="preserve"> (antineoplastic, common drug used for rheumatoid arthritis leads to low </w:t>
      </w:r>
      <w:r>
        <w:rPr>
          <w:rFonts w:ascii="Times New Roman" w:eastAsia="Times New Roman" w:hAnsi="Times New Roman" w:cs="Times New Roman"/>
          <w:u w:val="single" w:color="000000"/>
        </w:rPr>
        <w:t>folate</w:t>
      </w:r>
      <w:r>
        <w:rPr>
          <w:rFonts w:ascii="Times New Roman" w:eastAsia="Times New Roman" w:hAnsi="Times New Roman" w:cs="Times New Roman"/>
        </w:rPr>
        <w:t xml:space="preserve"> levels. Supplementation is recommended. </w:t>
      </w:r>
    </w:p>
    <w:p w14:paraId="542187C7" w14:textId="77777777" w:rsidR="00F57D19" w:rsidRDefault="00000000">
      <w:pPr>
        <w:numPr>
          <w:ilvl w:val="1"/>
          <w:numId w:val="2"/>
        </w:numPr>
        <w:spacing w:after="4" w:line="240" w:lineRule="auto"/>
        <w:ind w:hanging="360"/>
      </w:pPr>
      <w:r>
        <w:rPr>
          <w:rFonts w:ascii="Times New Roman" w:eastAsia="Times New Roman" w:hAnsi="Times New Roman" w:cs="Times New Roman"/>
          <w:u w:val="single" w:color="000000"/>
        </w:rPr>
        <w:t>Corticosteroids</w:t>
      </w:r>
      <w:r>
        <w:rPr>
          <w:rFonts w:ascii="Times New Roman" w:eastAsia="Times New Roman" w:hAnsi="Times New Roman" w:cs="Times New Roman"/>
        </w:rPr>
        <w:t xml:space="preserve"> decrease the absorption of </w:t>
      </w:r>
      <w:r>
        <w:rPr>
          <w:rFonts w:ascii="Times New Roman" w:eastAsia="Times New Roman" w:hAnsi="Times New Roman" w:cs="Times New Roman"/>
          <w:u w:val="single" w:color="000000"/>
        </w:rPr>
        <w:t>calcium</w:t>
      </w:r>
      <w:r>
        <w:rPr>
          <w:rFonts w:ascii="Times New Roman" w:eastAsia="Times New Roman" w:hAnsi="Times New Roman" w:cs="Times New Roman"/>
        </w:rPr>
        <w:t xml:space="preserve">, and this can lead to osteoporosis. Supplementation and monitoring are required for patients on </w:t>
      </w:r>
      <w:proofErr w:type="spellStart"/>
      <w:r>
        <w:rPr>
          <w:rFonts w:ascii="Times New Roman" w:eastAsia="Times New Roman" w:hAnsi="Times New Roman" w:cs="Times New Roman"/>
        </w:rPr>
        <w:t>longterm</w:t>
      </w:r>
      <w:proofErr w:type="spellEnd"/>
      <w:r>
        <w:rPr>
          <w:rFonts w:ascii="Times New Roman" w:eastAsia="Times New Roman" w:hAnsi="Times New Roman" w:cs="Times New Roman"/>
        </w:rPr>
        <w:t xml:space="preserve"> corticosteroids. </w:t>
      </w:r>
    </w:p>
    <w:p w14:paraId="2562B9AE" w14:textId="77777777" w:rsidR="00F57D19" w:rsidRDefault="00000000">
      <w:pPr>
        <w:spacing w:after="70" w:line="259" w:lineRule="auto"/>
        <w:ind w:left="0" w:firstLine="0"/>
      </w:pPr>
      <w:r>
        <w:t xml:space="preserve"> </w:t>
      </w:r>
    </w:p>
    <w:p w14:paraId="577A20A0" w14:textId="77777777" w:rsidR="00F57D19" w:rsidRDefault="00000000">
      <w:pPr>
        <w:spacing w:after="0" w:line="259" w:lineRule="auto"/>
        <w:ind w:left="-5"/>
      </w:pPr>
      <w:r>
        <w:rPr>
          <w:b/>
          <w:sz w:val="32"/>
          <w:u w:val="single" w:color="000000"/>
        </w:rPr>
        <w:t xml:space="preserve">Micronutrient </w:t>
      </w:r>
      <w:proofErr w:type="gramStart"/>
      <w:r>
        <w:rPr>
          <w:b/>
          <w:sz w:val="32"/>
          <w:u w:val="single" w:color="000000"/>
        </w:rPr>
        <w:t xml:space="preserve">Supplements  </w:t>
      </w:r>
      <w:r>
        <w:rPr>
          <w:i/>
          <w:u w:val="single" w:color="000000"/>
        </w:rPr>
        <w:t>(</w:t>
      </w:r>
      <w:proofErr w:type="gramEnd"/>
      <w:r>
        <w:rPr>
          <w:i/>
          <w:u w:val="single" w:color="000000"/>
        </w:rPr>
        <w:t>not testable)</w:t>
      </w:r>
      <w:r>
        <w:rPr>
          <w:b/>
        </w:rPr>
        <w:t xml:space="preserve"> </w:t>
      </w:r>
    </w:p>
    <w:p w14:paraId="034280DB" w14:textId="77777777" w:rsidR="00F57D19" w:rsidRDefault="00000000">
      <w:pPr>
        <w:ind w:left="-5"/>
      </w:pPr>
      <w:r>
        <w:t xml:space="preserve">A recent study showed that 79% of American adult women and 94% of men use dietary supplements, yet less than ¼ of these were recommended by a health provider. Multi-vitamins </w:t>
      </w:r>
    </w:p>
    <w:p w14:paraId="29560629" w14:textId="77777777" w:rsidR="00F57D19" w:rsidRDefault="00000000">
      <w:pPr>
        <w:ind w:left="-5"/>
      </w:pPr>
      <w:r>
        <w:t xml:space="preserve">(MVI) are the most common, and the most common reason is to “improve general health/wellness”. As of now, there is </w:t>
      </w:r>
      <w:r>
        <w:rPr>
          <w:u w:val="single" w:color="000000"/>
        </w:rPr>
        <w:t>insufficient</w:t>
      </w:r>
      <w:r>
        <w:t xml:space="preserve"> </w:t>
      </w:r>
      <w:r>
        <w:rPr>
          <w:u w:val="single" w:color="000000"/>
        </w:rPr>
        <w:t>evidence</w:t>
      </w:r>
      <w:r>
        <w:t xml:space="preserve"> supporting the use of MVI to reduce risk of heart disease, cancer, or other chronic disease.  However, about 1/3 of Americans may be at risk for one or more micronutrient deficiencies. This is significantly higher in non-Hispanic black populations (55%), individuals from low-income households (42%), those without high </w:t>
      </w:r>
      <w:r>
        <w:lastRenderedPageBreak/>
        <w:t xml:space="preserve">school diplomas (42%), underweight (42%), and obese individuals (39%). Therefore, screening of the following higher-risk populations is recommended: </w:t>
      </w:r>
    </w:p>
    <w:p w14:paraId="64371A00" w14:textId="77777777" w:rsidR="00F57D19" w:rsidRDefault="00000000">
      <w:pPr>
        <w:spacing w:after="15" w:line="259" w:lineRule="auto"/>
        <w:ind w:left="0" w:firstLine="0"/>
      </w:pPr>
      <w:r>
        <w:t xml:space="preserve"> </w:t>
      </w:r>
    </w:p>
    <w:p w14:paraId="30ED714E" w14:textId="77777777" w:rsidR="00F57D19" w:rsidRDefault="00000000">
      <w:pPr>
        <w:numPr>
          <w:ilvl w:val="0"/>
          <w:numId w:val="3"/>
        </w:numPr>
        <w:ind w:hanging="360"/>
      </w:pPr>
      <w:r>
        <w:t xml:space="preserve">Pregnant women, children, and adolescents </w:t>
      </w:r>
    </w:p>
    <w:p w14:paraId="2020881E" w14:textId="77777777" w:rsidR="00F57D19" w:rsidRDefault="00000000">
      <w:pPr>
        <w:numPr>
          <w:ilvl w:val="0"/>
          <w:numId w:val="3"/>
        </w:numPr>
        <w:spacing w:after="27"/>
        <w:ind w:hanging="360"/>
      </w:pPr>
      <w:r>
        <w:t xml:space="preserve">Geriatric patients </w:t>
      </w:r>
    </w:p>
    <w:p w14:paraId="1B12A504" w14:textId="77777777" w:rsidR="00F57D19" w:rsidRDefault="00000000">
      <w:pPr>
        <w:numPr>
          <w:ilvl w:val="0"/>
          <w:numId w:val="3"/>
        </w:numPr>
        <w:ind w:hanging="360"/>
      </w:pPr>
      <w:r>
        <w:t xml:space="preserve">Low income-food insecure </w:t>
      </w:r>
    </w:p>
    <w:p w14:paraId="3551542F" w14:textId="77777777" w:rsidR="00F57D19" w:rsidRDefault="00000000">
      <w:pPr>
        <w:numPr>
          <w:ilvl w:val="0"/>
          <w:numId w:val="3"/>
        </w:numPr>
        <w:spacing w:after="27"/>
        <w:ind w:hanging="360"/>
      </w:pPr>
      <w:r>
        <w:t xml:space="preserve">Obese/overweight </w:t>
      </w:r>
    </w:p>
    <w:p w14:paraId="0C175EBA" w14:textId="77777777" w:rsidR="00F57D19" w:rsidRDefault="00000000">
      <w:pPr>
        <w:numPr>
          <w:ilvl w:val="0"/>
          <w:numId w:val="3"/>
        </w:numPr>
        <w:spacing w:after="28"/>
        <w:ind w:hanging="360"/>
      </w:pPr>
      <w:r>
        <w:t xml:space="preserve">Non-Hispanic Black </w:t>
      </w:r>
    </w:p>
    <w:p w14:paraId="7799BC44" w14:textId="77777777" w:rsidR="00F57D19" w:rsidRDefault="00000000">
      <w:pPr>
        <w:numPr>
          <w:ilvl w:val="0"/>
          <w:numId w:val="3"/>
        </w:numPr>
        <w:spacing w:after="31"/>
        <w:ind w:hanging="360"/>
      </w:pPr>
      <w:r>
        <w:t xml:space="preserve">Chronic conditions: IBD, cancer, ETOH/substance use disorder, HIV, COPD, diabetes, GI malabsorption, visual impairment, dexterity issues, visual impairments, etc. </w:t>
      </w:r>
    </w:p>
    <w:p w14:paraId="5FD86D78" w14:textId="77777777" w:rsidR="00F57D19" w:rsidRDefault="00000000">
      <w:pPr>
        <w:numPr>
          <w:ilvl w:val="0"/>
          <w:numId w:val="3"/>
        </w:numPr>
        <w:ind w:hanging="360"/>
      </w:pPr>
      <w:r>
        <w:t xml:space="preserve">Diets: Weight-loss diets, vegan, vegetarian </w:t>
      </w:r>
    </w:p>
    <w:sectPr w:rsidR="00F57D19">
      <w:pgSz w:w="12240" w:h="15840"/>
      <w:pgMar w:top="1491" w:right="1457" w:bottom="1209"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9409D"/>
    <w:multiLevelType w:val="hybridMultilevel"/>
    <w:tmpl w:val="04E2CAF0"/>
    <w:lvl w:ilvl="0" w:tplc="D794EB00">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92CA86">
      <w:start w:val="1"/>
      <w:numFmt w:val="decimal"/>
      <w:lvlText w:val="%2."/>
      <w:lvlJc w:val="left"/>
      <w:pPr>
        <w:ind w:left="1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74165A">
      <w:start w:val="1"/>
      <w:numFmt w:val="lowerRoman"/>
      <w:lvlText w:val="%3"/>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766D0E">
      <w:start w:val="1"/>
      <w:numFmt w:val="decimal"/>
      <w:lvlText w:val="%4"/>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D20ABA">
      <w:start w:val="1"/>
      <w:numFmt w:val="lowerLetter"/>
      <w:lvlText w:val="%5"/>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78721C">
      <w:start w:val="1"/>
      <w:numFmt w:val="lowerRoman"/>
      <w:lvlText w:val="%6"/>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F093B8">
      <w:start w:val="1"/>
      <w:numFmt w:val="decimal"/>
      <w:lvlText w:val="%7"/>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3AFCB6">
      <w:start w:val="1"/>
      <w:numFmt w:val="lowerLetter"/>
      <w:lvlText w:val="%8"/>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AC2A04">
      <w:start w:val="1"/>
      <w:numFmt w:val="lowerRoman"/>
      <w:lvlText w:val="%9"/>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F372CF"/>
    <w:multiLevelType w:val="hybridMultilevel"/>
    <w:tmpl w:val="9AD8C572"/>
    <w:lvl w:ilvl="0" w:tplc="1E56180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E8A814">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2E7F9A">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C07400">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00BA5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6482C0">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28752">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16F9B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F0B5E4">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9D11D9C"/>
    <w:multiLevelType w:val="hybridMultilevel"/>
    <w:tmpl w:val="2598B614"/>
    <w:lvl w:ilvl="0" w:tplc="8BF0083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EACA0C">
      <w:start w:val="1"/>
      <w:numFmt w:val="bullet"/>
      <w:lvlText w:val="o"/>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FAD91C">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9671A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2AF152">
      <w:start w:val="1"/>
      <w:numFmt w:val="bullet"/>
      <w:lvlText w:val="o"/>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3C9CEA">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9031C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58CD98">
      <w:start w:val="1"/>
      <w:numFmt w:val="bullet"/>
      <w:lvlText w:val="o"/>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EAAD16">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153762979">
    <w:abstractNumId w:val="0"/>
  </w:num>
  <w:num w:numId="2" w16cid:durableId="1368985335">
    <w:abstractNumId w:val="1"/>
  </w:num>
  <w:num w:numId="3" w16cid:durableId="164437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D19"/>
    <w:rsid w:val="00045ABA"/>
    <w:rsid w:val="00F57D19"/>
    <w:rsid w:val="00FF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77916C"/>
  <w15:docId w15:val="{877229C5-B484-CF42-9072-F8C88F25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371" w:hanging="10"/>
    </w:pPr>
    <w:rPr>
      <w:rFonts w:ascii="Calibri" w:eastAsia="Calibri" w:hAnsi="Calibri" w:cs="Calibri"/>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1424</Words>
  <Characters>8123</Characters>
  <Application>Microsoft Office Word</Application>
  <DocSecurity>0</DocSecurity>
  <Lines>67</Lines>
  <Paragraphs>19</Paragraphs>
  <ScaleCrop>false</ScaleCrop>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Robinson</dc:creator>
  <cp:keywords/>
  <cp:lastModifiedBy>Kevin Robinson</cp:lastModifiedBy>
  <cp:revision>3</cp:revision>
  <dcterms:created xsi:type="dcterms:W3CDTF">2023-07-26T18:30:00Z</dcterms:created>
  <dcterms:modified xsi:type="dcterms:W3CDTF">2023-07-28T16:55:00Z</dcterms:modified>
</cp:coreProperties>
</file>