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F7" w:rsidRDefault="00CA78F7" w:rsidP="00CA78F7">
      <w:r>
        <w:t xml:space="preserve">Integrating Behavioral Science </w:t>
      </w:r>
      <w:proofErr w:type="gramStart"/>
      <w:r>
        <w:t>Into</w:t>
      </w:r>
      <w:proofErr w:type="gramEnd"/>
      <w:r>
        <w:t xml:space="preserve"> </w:t>
      </w:r>
      <w:proofErr w:type="spellStart"/>
      <w:r>
        <w:t>Precepting</w:t>
      </w:r>
      <w:proofErr w:type="spellEnd"/>
    </w:p>
    <w:p w:rsidR="00CA78F7" w:rsidRDefault="00CA78F7" w:rsidP="00CA78F7">
      <w:r>
        <w:t>Forum for Behavioral Science in Family Medicine 2016</w:t>
      </w:r>
    </w:p>
    <w:p w:rsidR="00CA78F7" w:rsidRDefault="00CA78F7" w:rsidP="00CA78F7"/>
    <w:p w:rsidR="00CA78F7" w:rsidRDefault="00CA78F7" w:rsidP="00CA78F7">
      <w:bookmarkStart w:id="0" w:name="_GoBack"/>
      <w:bookmarkEnd w:id="0"/>
      <w:r>
        <w:t>References</w:t>
      </w:r>
    </w:p>
    <w:p w:rsidR="00CA78F7" w:rsidRDefault="00CA78F7" w:rsidP="00CA78F7"/>
    <w:p w:rsidR="00CA78F7" w:rsidRDefault="00CA78F7" w:rsidP="00CA78F7">
      <w:pPr>
        <w:rPr>
          <w:rFonts w:hAnsi="Cambria"/>
          <w:color w:val="000000" w:themeColor="text1"/>
          <w:kern w:val="24"/>
        </w:rPr>
      </w:pPr>
      <w:proofErr w:type="gramStart"/>
      <w:r w:rsidRPr="00C14363">
        <w:rPr>
          <w:rFonts w:hAnsi="Cambria"/>
          <w:color w:val="000000" w:themeColor="text1"/>
          <w:kern w:val="24"/>
        </w:rPr>
        <w:t xml:space="preserve">Kern DE, Branch WT, Jackson JL, Brady DW, Feldman </w:t>
      </w:r>
      <w:r>
        <w:rPr>
          <w:rFonts w:hAnsi="Cambria"/>
          <w:color w:val="000000" w:themeColor="text1"/>
          <w:kern w:val="24"/>
        </w:rPr>
        <w:t xml:space="preserve">MD, Levinson W, </w:t>
      </w:r>
      <w:proofErr w:type="spellStart"/>
      <w:r>
        <w:rPr>
          <w:rFonts w:hAnsi="Cambria"/>
          <w:color w:val="000000" w:themeColor="text1"/>
          <w:kern w:val="24"/>
        </w:rPr>
        <w:t>Lipkin</w:t>
      </w:r>
      <w:proofErr w:type="spellEnd"/>
      <w:r>
        <w:rPr>
          <w:rFonts w:hAnsi="Cambria"/>
          <w:color w:val="000000" w:themeColor="text1"/>
          <w:kern w:val="24"/>
        </w:rPr>
        <w:t xml:space="preserve"> M.</w:t>
      </w:r>
      <w:proofErr w:type="gramEnd"/>
      <w:r>
        <w:rPr>
          <w:rFonts w:hAnsi="Cambria"/>
          <w:color w:val="000000" w:themeColor="text1"/>
          <w:kern w:val="24"/>
        </w:rPr>
        <w:t xml:space="preserve">  </w:t>
      </w:r>
      <w:proofErr w:type="gramStart"/>
      <w:r>
        <w:rPr>
          <w:rFonts w:hAnsi="Cambria"/>
          <w:color w:val="000000" w:themeColor="text1"/>
          <w:kern w:val="24"/>
        </w:rPr>
        <w:t>Teaching the psychosocial aspects of care in the clinic setting: practical r</w:t>
      </w:r>
      <w:r w:rsidRPr="00C14363">
        <w:rPr>
          <w:rFonts w:hAnsi="Cambria"/>
          <w:color w:val="000000" w:themeColor="text1"/>
          <w:kern w:val="24"/>
        </w:rPr>
        <w:t>ecommendations.</w:t>
      </w:r>
      <w:proofErr w:type="gramEnd"/>
      <w:r w:rsidRPr="00C14363">
        <w:rPr>
          <w:rFonts w:hAnsi="Cambria"/>
          <w:color w:val="000000" w:themeColor="text1"/>
          <w:kern w:val="24"/>
        </w:rPr>
        <w:t xml:space="preserve"> </w:t>
      </w:r>
      <w:r w:rsidRPr="00C14363">
        <w:rPr>
          <w:rFonts w:hAnsi="Cambria"/>
          <w:i/>
          <w:iCs/>
          <w:color w:val="000000" w:themeColor="text1"/>
          <w:kern w:val="24"/>
        </w:rPr>
        <w:t>Academic Medicine</w:t>
      </w:r>
      <w:r w:rsidRPr="00C14363">
        <w:rPr>
          <w:rFonts w:hAnsi="Cambria"/>
          <w:color w:val="000000" w:themeColor="text1"/>
          <w:kern w:val="24"/>
        </w:rPr>
        <w:t xml:space="preserve">, </w:t>
      </w:r>
      <w:r>
        <w:rPr>
          <w:rFonts w:hAnsi="Cambria"/>
          <w:color w:val="000000" w:themeColor="text1"/>
          <w:kern w:val="24"/>
        </w:rPr>
        <w:t xml:space="preserve">2005; </w:t>
      </w:r>
      <w:r w:rsidRPr="00C14363">
        <w:rPr>
          <w:rFonts w:hAnsi="Cambria"/>
          <w:color w:val="000000" w:themeColor="text1"/>
          <w:kern w:val="24"/>
        </w:rPr>
        <w:t>80(1): 8-19.</w:t>
      </w:r>
    </w:p>
    <w:p w:rsidR="00CA78F7" w:rsidRDefault="00CA78F7" w:rsidP="00CA78F7"/>
    <w:p w:rsidR="00CA78F7" w:rsidRDefault="00CA78F7" w:rsidP="00CA78F7">
      <w:pPr>
        <w:pStyle w:val="NormalWeb"/>
        <w:spacing w:before="0" w:beforeAutospacing="0" w:after="0" w:afterAutospacing="0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  <w:proofErr w:type="spellStart"/>
      <w:proofErr w:type="gramStart"/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>Kertesz</w:t>
      </w:r>
      <w:proofErr w:type="spellEnd"/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 xml:space="preserve"> JW, </w:t>
      </w:r>
      <w:proofErr w:type="spellStart"/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>Delbridge</w:t>
      </w:r>
      <w:proofErr w:type="spellEnd"/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 xml:space="preserve"> EJ, Felix DS.</w:t>
      </w:r>
      <w:proofErr w:type="gramEnd"/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 xml:space="preserve"> </w:t>
      </w:r>
      <w:proofErr w:type="gramStart"/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>Models for integrating behavioral medicine on a family medicine in-patient teaching service.</w:t>
      </w:r>
      <w:proofErr w:type="gramEnd"/>
      <w:r>
        <w:rPr>
          <w:rFonts w:asciiTheme="minorHAnsi" w:hAnsi="Cambria" w:cstheme="minorBidi"/>
          <w:i/>
          <w:iCs/>
          <w:color w:val="000000" w:themeColor="text1"/>
          <w:kern w:val="24"/>
          <w:sz w:val="24"/>
          <w:szCs w:val="24"/>
        </w:rPr>
        <w:t xml:space="preserve"> </w:t>
      </w:r>
      <w:proofErr w:type="gramStart"/>
      <w:r>
        <w:rPr>
          <w:rFonts w:asciiTheme="minorHAnsi" w:hAnsi="Cambria" w:cstheme="minorBidi"/>
          <w:i/>
          <w:iCs/>
          <w:color w:val="000000" w:themeColor="text1"/>
          <w:kern w:val="24"/>
          <w:sz w:val="24"/>
          <w:szCs w:val="24"/>
        </w:rPr>
        <w:t>International Journal of Psychiatry in Medicine.</w:t>
      </w:r>
      <w:proofErr w:type="gramEnd"/>
      <w:r>
        <w:rPr>
          <w:rFonts w:asciiTheme="minorHAnsi" w:hAnsi="Cambria" w:cstheme="minorBidi"/>
          <w:i/>
          <w:iCs/>
          <w:color w:val="000000" w:themeColor="text1"/>
          <w:kern w:val="24"/>
          <w:sz w:val="24"/>
          <w:szCs w:val="24"/>
        </w:rPr>
        <w:t xml:space="preserve"> </w:t>
      </w:r>
      <w:r>
        <w:rPr>
          <w:rFonts w:asciiTheme="minorHAnsi" w:hAnsi="Cambria" w:cstheme="minorBidi"/>
          <w:color w:val="000000" w:themeColor="text1"/>
          <w:kern w:val="24"/>
          <w:sz w:val="24"/>
          <w:szCs w:val="24"/>
        </w:rPr>
        <w:t xml:space="preserve">2014; 47(4): 357-367. </w:t>
      </w:r>
    </w:p>
    <w:p w:rsidR="00CA78F7" w:rsidRDefault="00CA78F7" w:rsidP="00CA78F7">
      <w:pPr>
        <w:pStyle w:val="NormalWeb"/>
        <w:spacing w:before="0" w:beforeAutospacing="0" w:after="0" w:afterAutospacing="0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</w:p>
    <w:p w:rsidR="00CA78F7" w:rsidRDefault="00CA78F7" w:rsidP="00CA78F7">
      <w:proofErr w:type="spellStart"/>
      <w:r w:rsidRPr="0094325E">
        <w:rPr>
          <w:rFonts w:hAnsi="Cambria"/>
          <w:color w:val="000000" w:themeColor="text1"/>
          <w:kern w:val="24"/>
        </w:rPr>
        <w:t>Lillich</w:t>
      </w:r>
      <w:proofErr w:type="spellEnd"/>
      <w:r w:rsidRPr="0094325E">
        <w:rPr>
          <w:rFonts w:hAnsi="Cambria"/>
          <w:color w:val="000000" w:themeColor="text1"/>
          <w:kern w:val="24"/>
        </w:rPr>
        <w:t xml:space="preserve"> DW, Mace K, </w:t>
      </w:r>
      <w:proofErr w:type="spellStart"/>
      <w:r w:rsidRPr="0094325E">
        <w:rPr>
          <w:rFonts w:hAnsi="Cambria"/>
          <w:color w:val="000000" w:themeColor="text1"/>
          <w:kern w:val="24"/>
        </w:rPr>
        <w:t>Goodell</w:t>
      </w:r>
      <w:proofErr w:type="spellEnd"/>
      <w:r w:rsidRPr="0094325E">
        <w:rPr>
          <w:rFonts w:hAnsi="Cambria"/>
          <w:color w:val="000000" w:themeColor="text1"/>
          <w:kern w:val="24"/>
        </w:rPr>
        <w:t xml:space="preserve"> M, </w:t>
      </w:r>
      <w:proofErr w:type="spellStart"/>
      <w:r w:rsidRPr="0094325E">
        <w:rPr>
          <w:rFonts w:hAnsi="Cambria"/>
          <w:color w:val="000000" w:themeColor="text1"/>
          <w:kern w:val="24"/>
        </w:rPr>
        <w:t>Kinnee</w:t>
      </w:r>
      <w:proofErr w:type="spellEnd"/>
      <w:r w:rsidRPr="0094325E">
        <w:rPr>
          <w:rFonts w:hAnsi="Cambria"/>
          <w:color w:val="000000" w:themeColor="text1"/>
          <w:kern w:val="24"/>
        </w:rPr>
        <w:t xml:space="preserve"> C. Active </w:t>
      </w:r>
      <w:proofErr w:type="spellStart"/>
      <w:r w:rsidRPr="0094325E">
        <w:rPr>
          <w:rFonts w:hAnsi="Cambria"/>
          <w:color w:val="000000" w:themeColor="text1"/>
          <w:kern w:val="24"/>
        </w:rPr>
        <w:t>precepting</w:t>
      </w:r>
      <w:proofErr w:type="spellEnd"/>
      <w:r w:rsidRPr="0094325E">
        <w:rPr>
          <w:rFonts w:hAnsi="Cambria"/>
          <w:color w:val="000000" w:themeColor="text1"/>
          <w:kern w:val="24"/>
        </w:rPr>
        <w:t xml:space="preserve"> in the residency clinic: a pilot study of a new model.  </w:t>
      </w:r>
      <w:proofErr w:type="gramStart"/>
      <w:r w:rsidRPr="0094325E">
        <w:rPr>
          <w:rFonts w:hAnsi="Cambria"/>
          <w:i/>
          <w:iCs/>
          <w:color w:val="000000" w:themeColor="text1"/>
          <w:kern w:val="24"/>
        </w:rPr>
        <w:t>Family Medicine.</w:t>
      </w:r>
      <w:proofErr w:type="gramEnd"/>
      <w:r w:rsidRPr="0094325E">
        <w:rPr>
          <w:rFonts w:hAnsi="Cambria"/>
          <w:i/>
          <w:iCs/>
          <w:color w:val="000000" w:themeColor="text1"/>
          <w:kern w:val="24"/>
        </w:rPr>
        <w:t xml:space="preserve"> </w:t>
      </w:r>
      <w:r w:rsidRPr="0094325E">
        <w:rPr>
          <w:rFonts w:hAnsi="Cambria"/>
          <w:color w:val="000000" w:themeColor="text1"/>
          <w:kern w:val="24"/>
        </w:rPr>
        <w:t>2005; 37(3): 205-210.</w:t>
      </w:r>
    </w:p>
    <w:p w:rsidR="00CA78F7" w:rsidRPr="00AF7234" w:rsidRDefault="00CA78F7" w:rsidP="00CA78F7">
      <w:pPr>
        <w:pStyle w:val="NormalWeb"/>
        <w:spacing w:before="0" w:beforeAutospacing="0" w:after="0" w:afterAutospacing="0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</w:p>
    <w:p w:rsidR="00CA78F7" w:rsidRPr="00D90AB6" w:rsidRDefault="00CA78F7" w:rsidP="00CA78F7">
      <w:proofErr w:type="spellStart"/>
      <w:r w:rsidRPr="00D90AB6">
        <w:rPr>
          <w:rFonts w:hAnsi="Cambria"/>
          <w:color w:val="000000" w:themeColor="text1"/>
          <w:kern w:val="24"/>
        </w:rPr>
        <w:t>Neher</w:t>
      </w:r>
      <w:proofErr w:type="spellEnd"/>
      <w:r w:rsidRPr="00D90AB6">
        <w:rPr>
          <w:rFonts w:hAnsi="Cambria"/>
          <w:color w:val="000000" w:themeColor="text1"/>
          <w:kern w:val="24"/>
        </w:rPr>
        <w:t xml:space="preserve"> JO, Stevens NG. The one-minute preceptor: shaping the teaching conversation. </w:t>
      </w:r>
      <w:proofErr w:type="gramStart"/>
      <w:r w:rsidRPr="00D90AB6">
        <w:rPr>
          <w:rFonts w:hAnsi="Cambria"/>
          <w:i/>
          <w:iCs/>
          <w:color w:val="000000" w:themeColor="text1"/>
          <w:kern w:val="24"/>
        </w:rPr>
        <w:t>Family Medicine.</w:t>
      </w:r>
      <w:proofErr w:type="gramEnd"/>
      <w:r w:rsidRPr="00D90AB6">
        <w:rPr>
          <w:rFonts w:hAnsi="Cambria"/>
          <w:color w:val="000000" w:themeColor="text1"/>
          <w:kern w:val="24"/>
        </w:rPr>
        <w:t xml:space="preserve"> </w:t>
      </w:r>
      <w:proofErr w:type="gramStart"/>
      <w:r w:rsidRPr="00D90AB6">
        <w:rPr>
          <w:rFonts w:hAnsi="Cambria"/>
          <w:color w:val="000000" w:themeColor="text1"/>
          <w:kern w:val="24"/>
        </w:rPr>
        <w:t>2003; 35(6); 391-3.</w:t>
      </w:r>
      <w:proofErr w:type="gramEnd"/>
      <w:r w:rsidRPr="00D90AB6">
        <w:rPr>
          <w:rFonts w:hAnsi="Cambria"/>
          <w:color w:val="000000" w:themeColor="text1"/>
          <w:kern w:val="24"/>
        </w:rPr>
        <w:t xml:space="preserve"> </w:t>
      </w:r>
    </w:p>
    <w:p w:rsidR="00CA78F7" w:rsidRDefault="00CA78F7" w:rsidP="00CA78F7">
      <w:pPr>
        <w:pStyle w:val="NormalWeb"/>
        <w:spacing w:before="0" w:beforeAutospacing="0" w:after="0" w:afterAutospacing="0"/>
        <w:rPr>
          <w:rFonts w:asciiTheme="minorHAnsi" w:hAnsi="Cambria" w:cstheme="minorBidi"/>
          <w:color w:val="000000" w:themeColor="text1"/>
          <w:kern w:val="24"/>
          <w:sz w:val="24"/>
          <w:szCs w:val="24"/>
        </w:rPr>
      </w:pPr>
    </w:p>
    <w:p w:rsidR="00CA78F7" w:rsidRDefault="00CA78F7" w:rsidP="00CA78F7">
      <w:proofErr w:type="spellStart"/>
      <w:r w:rsidRPr="00D90AB6">
        <w:rPr>
          <w:rFonts w:hAnsi="Cambria"/>
          <w:color w:val="000000" w:themeColor="text1"/>
          <w:kern w:val="24"/>
        </w:rPr>
        <w:t>Wolpaw</w:t>
      </w:r>
      <w:proofErr w:type="spellEnd"/>
      <w:r w:rsidRPr="00D90AB6">
        <w:rPr>
          <w:rFonts w:hAnsi="Cambria"/>
          <w:color w:val="000000" w:themeColor="text1"/>
          <w:kern w:val="24"/>
        </w:rPr>
        <w:t xml:space="preserve"> TM, </w:t>
      </w:r>
      <w:proofErr w:type="spellStart"/>
      <w:r w:rsidRPr="00D90AB6">
        <w:rPr>
          <w:rFonts w:hAnsi="Cambria"/>
          <w:color w:val="000000" w:themeColor="text1"/>
          <w:kern w:val="24"/>
        </w:rPr>
        <w:t>Wolpaw</w:t>
      </w:r>
      <w:proofErr w:type="spellEnd"/>
      <w:r w:rsidRPr="00D90AB6">
        <w:rPr>
          <w:rFonts w:hAnsi="Cambria"/>
          <w:color w:val="000000" w:themeColor="text1"/>
          <w:kern w:val="24"/>
        </w:rPr>
        <w:t xml:space="preserve"> DR, Papp KK. SNAPPS: A learner-centered model for outpatient education. </w:t>
      </w:r>
      <w:proofErr w:type="gramStart"/>
      <w:r w:rsidRPr="00D90AB6">
        <w:rPr>
          <w:rFonts w:hAnsi="Cambria"/>
          <w:i/>
          <w:iCs/>
          <w:color w:val="000000" w:themeColor="text1"/>
          <w:kern w:val="24"/>
        </w:rPr>
        <w:t>Academic Medicine</w:t>
      </w:r>
      <w:r w:rsidRPr="00D90AB6">
        <w:rPr>
          <w:rFonts w:hAnsi="Cambria"/>
          <w:color w:val="000000" w:themeColor="text1"/>
          <w:kern w:val="24"/>
        </w:rPr>
        <w:t>.</w:t>
      </w:r>
      <w:proofErr w:type="gramEnd"/>
      <w:r w:rsidRPr="00D90AB6">
        <w:rPr>
          <w:rFonts w:hAnsi="Cambria"/>
          <w:color w:val="000000" w:themeColor="text1"/>
          <w:kern w:val="24"/>
        </w:rPr>
        <w:t xml:space="preserve"> 2003; 78(9): 893-898. </w:t>
      </w:r>
    </w:p>
    <w:p w:rsidR="00CA78F7" w:rsidRDefault="00CA78F7" w:rsidP="00CA78F7"/>
    <w:p w:rsidR="001A1CBC" w:rsidRDefault="001A1CBC"/>
    <w:sectPr w:rsidR="001A1CBC" w:rsidSect="004035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F7"/>
    <w:rsid w:val="001A1CBC"/>
    <w:rsid w:val="00CA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8F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78F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8F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78F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2016-09-27T19:38:00Z</dcterms:created>
  <dcterms:modified xsi:type="dcterms:W3CDTF">2016-09-27T19:40:00Z</dcterms:modified>
</cp:coreProperties>
</file>