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A548" w14:textId="7FBA58FE" w:rsidR="00D77B20" w:rsidRDefault="00D77B20" w:rsidP="00D77B20">
      <w:pPr>
        <w:jc w:val="center"/>
      </w:pPr>
      <w:r w:rsidRPr="00D77B20">
        <w:t>Attending to Eating Disorders Survey Questions</w:t>
      </w:r>
    </w:p>
    <w:p w14:paraId="500F6444" w14:textId="77777777" w:rsidR="00CD4C02" w:rsidRDefault="00CD4C02" w:rsidP="00CD4C02">
      <w:pPr>
        <w:pStyle w:val="ListParagraph"/>
        <w:numPr>
          <w:ilvl w:val="0"/>
          <w:numId w:val="1"/>
        </w:numPr>
      </w:pPr>
      <w:r>
        <w:t>Level of training</w:t>
      </w:r>
    </w:p>
    <w:p w14:paraId="79865C97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>Resident</w:t>
      </w:r>
    </w:p>
    <w:p w14:paraId="329B0F88" w14:textId="77777777" w:rsidR="00CD4C02" w:rsidRDefault="00CD4C02" w:rsidP="00CD4C02">
      <w:pPr>
        <w:pStyle w:val="ListParagraph"/>
        <w:numPr>
          <w:ilvl w:val="2"/>
          <w:numId w:val="1"/>
        </w:numPr>
      </w:pPr>
      <w:r>
        <w:t>Family medicine</w:t>
      </w:r>
    </w:p>
    <w:p w14:paraId="01AFA5DC" w14:textId="77777777" w:rsidR="00CD4C02" w:rsidRDefault="00CD4C02" w:rsidP="00CD4C02">
      <w:pPr>
        <w:pStyle w:val="ListParagraph"/>
        <w:numPr>
          <w:ilvl w:val="2"/>
          <w:numId w:val="1"/>
        </w:numPr>
      </w:pPr>
      <w:r>
        <w:t>Internal medicine</w:t>
      </w:r>
    </w:p>
    <w:p w14:paraId="4A7A870B" w14:textId="77777777" w:rsidR="00CD4C02" w:rsidRDefault="00CD4C02" w:rsidP="00CD4C02">
      <w:pPr>
        <w:pStyle w:val="ListParagraph"/>
        <w:numPr>
          <w:ilvl w:val="2"/>
          <w:numId w:val="1"/>
        </w:numPr>
      </w:pPr>
      <w:r>
        <w:t>Obstetrics and Gynecology</w:t>
      </w:r>
    </w:p>
    <w:p w14:paraId="599B8B96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>Attending</w:t>
      </w:r>
    </w:p>
    <w:p w14:paraId="3F46DB20" w14:textId="77777777" w:rsidR="00CD4C02" w:rsidRDefault="00CD4C02" w:rsidP="00CD4C02">
      <w:pPr>
        <w:pStyle w:val="ListParagraph"/>
        <w:numPr>
          <w:ilvl w:val="2"/>
          <w:numId w:val="1"/>
        </w:numPr>
      </w:pPr>
      <w:r>
        <w:t>Family medicine</w:t>
      </w:r>
    </w:p>
    <w:p w14:paraId="1C51281A" w14:textId="77777777" w:rsidR="00CD4C02" w:rsidRDefault="00CD4C02" w:rsidP="00CD4C02">
      <w:pPr>
        <w:pStyle w:val="ListParagraph"/>
        <w:numPr>
          <w:ilvl w:val="2"/>
          <w:numId w:val="1"/>
        </w:numPr>
      </w:pPr>
      <w:r>
        <w:t>Internal medicine</w:t>
      </w:r>
    </w:p>
    <w:p w14:paraId="707C403D" w14:textId="77777777" w:rsidR="00CD4C02" w:rsidRDefault="00CD4C02" w:rsidP="00CD4C02">
      <w:pPr>
        <w:pStyle w:val="ListParagraph"/>
        <w:numPr>
          <w:ilvl w:val="2"/>
          <w:numId w:val="1"/>
        </w:numPr>
      </w:pPr>
      <w:r>
        <w:t>Obstetrics and Gynecology</w:t>
      </w:r>
    </w:p>
    <w:p w14:paraId="06A58879" w14:textId="77777777" w:rsidR="00CD4C02" w:rsidRDefault="00CD4C02" w:rsidP="00CD4C02">
      <w:pPr>
        <w:pStyle w:val="ListParagraph"/>
        <w:numPr>
          <w:ilvl w:val="0"/>
          <w:numId w:val="1"/>
        </w:numPr>
      </w:pPr>
      <w:r>
        <w:t>Gender</w:t>
      </w:r>
    </w:p>
    <w:p w14:paraId="177134F8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 xml:space="preserve">Male </w:t>
      </w:r>
    </w:p>
    <w:p w14:paraId="6D09CB9C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>Female</w:t>
      </w:r>
    </w:p>
    <w:p w14:paraId="2BD4FE62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>Transgender male</w:t>
      </w:r>
    </w:p>
    <w:p w14:paraId="252FBFDC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>Transgender female</w:t>
      </w:r>
    </w:p>
    <w:p w14:paraId="33E00EA0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>Non-binary</w:t>
      </w:r>
    </w:p>
    <w:p w14:paraId="359DD057" w14:textId="77777777" w:rsidR="00CD4C02" w:rsidRDefault="00CD4C02" w:rsidP="00CD4C02">
      <w:pPr>
        <w:pStyle w:val="ListParagraph"/>
        <w:numPr>
          <w:ilvl w:val="1"/>
          <w:numId w:val="1"/>
        </w:numPr>
      </w:pPr>
      <w:r>
        <w:t>Genderfluid</w:t>
      </w:r>
    </w:p>
    <w:p w14:paraId="024E66A3" w14:textId="4CD4579D" w:rsidR="00CD4C02" w:rsidRDefault="00CD4C02" w:rsidP="00CD4C02">
      <w:pPr>
        <w:pStyle w:val="ListParagraph"/>
        <w:numPr>
          <w:ilvl w:val="0"/>
          <w:numId w:val="1"/>
        </w:numPr>
      </w:pPr>
      <w:r>
        <w:t>Between the start of medical school and now</w:t>
      </w:r>
      <w:r w:rsidR="00560AE4">
        <w:t>,</w:t>
      </w:r>
      <w:r>
        <w:t xml:space="preserve"> how many hours of training have you received </w:t>
      </w:r>
      <w:r w:rsidR="00560AE4">
        <w:t>on</w:t>
      </w:r>
      <w:r>
        <w:t xml:space="preserve"> recognizing, diagnosing, and treating eating disorders. </w:t>
      </w:r>
    </w:p>
    <w:p w14:paraId="14C42434" w14:textId="5C2C1A40" w:rsidR="00CD4C02" w:rsidRDefault="00CD4C02" w:rsidP="00CD4C02">
      <w:pPr>
        <w:pStyle w:val="ListParagraph"/>
        <w:numPr>
          <w:ilvl w:val="1"/>
          <w:numId w:val="1"/>
        </w:numPr>
      </w:pPr>
      <w:r>
        <w:t>0-5</w:t>
      </w:r>
      <w:r w:rsidR="00560AE4">
        <w:t xml:space="preserve"> hours</w:t>
      </w:r>
    </w:p>
    <w:p w14:paraId="43ADA015" w14:textId="121B7182" w:rsidR="00CD4C02" w:rsidRDefault="00CD4C02" w:rsidP="00CD4C02">
      <w:pPr>
        <w:pStyle w:val="ListParagraph"/>
        <w:numPr>
          <w:ilvl w:val="1"/>
          <w:numId w:val="1"/>
        </w:numPr>
      </w:pPr>
      <w:r>
        <w:t>6-10</w:t>
      </w:r>
      <w:r w:rsidR="00560AE4">
        <w:t xml:space="preserve"> hours</w:t>
      </w:r>
    </w:p>
    <w:p w14:paraId="76E31127" w14:textId="32B05F05" w:rsidR="00CD4C02" w:rsidRDefault="00CD4C02" w:rsidP="00CD4C02">
      <w:pPr>
        <w:pStyle w:val="ListParagraph"/>
        <w:numPr>
          <w:ilvl w:val="1"/>
          <w:numId w:val="1"/>
        </w:numPr>
      </w:pPr>
      <w:r>
        <w:t>11-15</w:t>
      </w:r>
      <w:r w:rsidR="00560AE4">
        <w:t xml:space="preserve"> hours</w:t>
      </w:r>
    </w:p>
    <w:p w14:paraId="001608F9" w14:textId="66FE4B18" w:rsidR="00CD4C02" w:rsidRDefault="00CD4C02" w:rsidP="00CD4C02">
      <w:pPr>
        <w:pStyle w:val="ListParagraph"/>
        <w:numPr>
          <w:ilvl w:val="1"/>
          <w:numId w:val="1"/>
        </w:numPr>
      </w:pPr>
      <w:r>
        <w:t>16-20</w:t>
      </w:r>
      <w:r w:rsidR="00560AE4">
        <w:t xml:space="preserve"> hours</w:t>
      </w:r>
    </w:p>
    <w:p w14:paraId="6862D90C" w14:textId="331BF19F" w:rsidR="00CD4C02" w:rsidRDefault="00CD4C02" w:rsidP="00CD4C02">
      <w:pPr>
        <w:pStyle w:val="ListParagraph"/>
        <w:numPr>
          <w:ilvl w:val="1"/>
          <w:numId w:val="1"/>
        </w:numPr>
      </w:pPr>
      <w:r>
        <w:t>20+</w:t>
      </w:r>
      <w:r w:rsidR="00560AE4">
        <w:t xml:space="preserve"> hours</w:t>
      </w:r>
    </w:p>
    <w:p w14:paraId="78B00FB6" w14:textId="35A185D2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Which of the following is NOT included in the diagnostic criteria for anorexia nervosa?</w:t>
      </w:r>
      <w:r w:rsidR="00816350">
        <w:t xml:space="preserve"> </w:t>
      </w:r>
    </w:p>
    <w:p w14:paraId="1557C4A3" w14:textId="77777777" w:rsidR="00CD4C02" w:rsidRPr="001F36DF" w:rsidRDefault="00CD4C02" w:rsidP="00CD4C02">
      <w:pPr>
        <w:pStyle w:val="ListParagraph"/>
        <w:numPr>
          <w:ilvl w:val="1"/>
          <w:numId w:val="1"/>
        </w:numPr>
        <w:spacing w:after="0"/>
      </w:pPr>
      <w:r w:rsidRPr="001F36DF">
        <w:t>Amenorrhea for &gt;3 months</w:t>
      </w:r>
    </w:p>
    <w:p w14:paraId="631F5D15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lastRenderedPageBreak/>
        <w:t>Intense fear of gaining weight</w:t>
      </w:r>
    </w:p>
    <w:p w14:paraId="4542CD7D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Undue influence of body weight/shape on self-evaluation</w:t>
      </w:r>
    </w:p>
    <w:p w14:paraId="2ED20C9A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Restriction of energy intake relative to requirements</w:t>
      </w:r>
    </w:p>
    <w:p w14:paraId="4B3A41C4" w14:textId="7511D638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Which of the following is NOT included in the diagnostic criteria for bulimia nervosa?</w:t>
      </w:r>
      <w:r w:rsidR="00816350">
        <w:t xml:space="preserve"> </w:t>
      </w:r>
    </w:p>
    <w:p w14:paraId="14F9E388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Self-evaluation is unduly influenced by body shape and weight</w:t>
      </w:r>
    </w:p>
    <w:p w14:paraId="519A9E63" w14:textId="77777777" w:rsidR="00CD4C02" w:rsidRPr="001F36DF" w:rsidRDefault="00CD4C02" w:rsidP="00CD4C02">
      <w:pPr>
        <w:pStyle w:val="ListParagraph"/>
        <w:numPr>
          <w:ilvl w:val="1"/>
          <w:numId w:val="1"/>
        </w:numPr>
        <w:spacing w:after="0"/>
      </w:pPr>
      <w:r w:rsidRPr="001F36DF">
        <w:t>Binge eating and inappropriate compensatory behaviors occur on average at least three times a week for 1 months</w:t>
      </w:r>
    </w:p>
    <w:p w14:paraId="33BB2ED5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Recurrent inappropriate compensatory behaviors to prevent weight gain</w:t>
      </w:r>
    </w:p>
    <w:p w14:paraId="2F006650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Episodes of binge eating associated with a sense of lack of control</w:t>
      </w:r>
    </w:p>
    <w:p w14:paraId="3D61E919" w14:textId="0745B69B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Which of the following is NOT included in the diagnostic criteria for binge eating disorder?</w:t>
      </w:r>
    </w:p>
    <w:p w14:paraId="70383C58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Eating, in a discrete period of time, an amount of food that is definitely larger than most people would eat in a similar period of time under similar circumstances</w:t>
      </w:r>
    </w:p>
    <w:p w14:paraId="386FFB1F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Eating large amounts of food when not feeling physically hungry</w:t>
      </w:r>
    </w:p>
    <w:p w14:paraId="3B01B78B" w14:textId="77777777" w:rsidR="00CD4C02" w:rsidRDefault="00CD4C02" w:rsidP="00CD4C02">
      <w:pPr>
        <w:pStyle w:val="ListParagraph"/>
        <w:numPr>
          <w:ilvl w:val="1"/>
          <w:numId w:val="1"/>
        </w:numPr>
        <w:spacing w:after="0"/>
      </w:pPr>
      <w:r>
        <w:t>Feeling disgusted with oneself, depressed, or very guilty after episodes of binging</w:t>
      </w:r>
    </w:p>
    <w:p w14:paraId="4BEB1CD2" w14:textId="77777777" w:rsidR="00CD4C02" w:rsidRPr="00B762E7" w:rsidRDefault="00CD4C02" w:rsidP="00CD4C02">
      <w:pPr>
        <w:pStyle w:val="ListParagraph"/>
        <w:numPr>
          <w:ilvl w:val="1"/>
          <w:numId w:val="1"/>
        </w:numPr>
        <w:spacing w:after="0"/>
      </w:pPr>
      <w:r w:rsidRPr="00B762E7">
        <w:t>BMI &gt;30</w:t>
      </w:r>
    </w:p>
    <w:p w14:paraId="15BD8F84" w14:textId="51CD9453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I ask all my patients about their weight history before counseling them on weight loss</w:t>
      </w:r>
      <w:r w:rsidR="00B762E7">
        <w:t>.</w:t>
      </w:r>
    </w:p>
    <w:p w14:paraId="24376BA9" w14:textId="77777777" w:rsidR="00CD4C02" w:rsidRDefault="00CD4C02" w:rsidP="00CD4C02">
      <w:pPr>
        <w:pStyle w:val="ListParagraph"/>
        <w:numPr>
          <w:ilvl w:val="1"/>
          <w:numId w:val="2"/>
        </w:numPr>
        <w:spacing w:after="0"/>
      </w:pPr>
      <w:r>
        <w:t>Disagree</w:t>
      </w:r>
    </w:p>
    <w:p w14:paraId="7D29E86A" w14:textId="77777777" w:rsidR="00CD4C02" w:rsidRDefault="00CD4C02" w:rsidP="00CD4C02">
      <w:pPr>
        <w:pStyle w:val="ListParagraph"/>
        <w:numPr>
          <w:ilvl w:val="1"/>
          <w:numId w:val="2"/>
        </w:numPr>
        <w:spacing w:after="0"/>
      </w:pPr>
      <w:r>
        <w:t>Slightly disagree</w:t>
      </w:r>
    </w:p>
    <w:p w14:paraId="4BC62949" w14:textId="77777777" w:rsidR="00CD4C02" w:rsidRDefault="00CD4C02" w:rsidP="00CD4C02">
      <w:pPr>
        <w:pStyle w:val="ListParagraph"/>
        <w:numPr>
          <w:ilvl w:val="1"/>
          <w:numId w:val="2"/>
        </w:numPr>
        <w:spacing w:after="0"/>
      </w:pPr>
      <w:r>
        <w:t>Slightly agree</w:t>
      </w:r>
    </w:p>
    <w:p w14:paraId="0C2ABC40" w14:textId="77777777" w:rsidR="00CD4C02" w:rsidRDefault="00CD4C02" w:rsidP="00CD4C02">
      <w:pPr>
        <w:pStyle w:val="ListParagraph"/>
        <w:numPr>
          <w:ilvl w:val="1"/>
          <w:numId w:val="2"/>
        </w:numPr>
        <w:spacing w:after="0"/>
      </w:pPr>
      <w:r>
        <w:t xml:space="preserve">Agree </w:t>
      </w:r>
    </w:p>
    <w:p w14:paraId="5E8497D9" w14:textId="58A56027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I ask all patients about eating habits such as skipping meals, purging, loss of control while eating, or compensatory exercise</w:t>
      </w:r>
      <w:r w:rsidR="00B762E7">
        <w:t>.</w:t>
      </w:r>
    </w:p>
    <w:p w14:paraId="1FC24D4E" w14:textId="77777777" w:rsidR="00CD4C02" w:rsidRDefault="00CD4C02" w:rsidP="00CD4C02">
      <w:pPr>
        <w:pStyle w:val="ListParagraph"/>
        <w:numPr>
          <w:ilvl w:val="1"/>
          <w:numId w:val="3"/>
        </w:numPr>
        <w:spacing w:after="0"/>
      </w:pPr>
      <w:r>
        <w:t>Disagree</w:t>
      </w:r>
    </w:p>
    <w:p w14:paraId="7C1C6B45" w14:textId="77777777" w:rsidR="00CD4C02" w:rsidRDefault="00CD4C02" w:rsidP="00CD4C02">
      <w:pPr>
        <w:pStyle w:val="ListParagraph"/>
        <w:numPr>
          <w:ilvl w:val="1"/>
          <w:numId w:val="3"/>
        </w:numPr>
        <w:spacing w:after="0"/>
      </w:pPr>
      <w:r>
        <w:t>Slightly disagree</w:t>
      </w:r>
    </w:p>
    <w:p w14:paraId="694C3046" w14:textId="77777777" w:rsidR="00CD4C02" w:rsidRDefault="00CD4C02" w:rsidP="00CD4C02">
      <w:pPr>
        <w:pStyle w:val="ListParagraph"/>
        <w:numPr>
          <w:ilvl w:val="1"/>
          <w:numId w:val="3"/>
        </w:numPr>
        <w:spacing w:after="0"/>
      </w:pPr>
      <w:r>
        <w:t>Slightly agree</w:t>
      </w:r>
    </w:p>
    <w:p w14:paraId="2AE4D129" w14:textId="77777777" w:rsidR="00CD4C02" w:rsidRDefault="00CD4C02" w:rsidP="00CD4C02">
      <w:pPr>
        <w:pStyle w:val="ListParagraph"/>
        <w:numPr>
          <w:ilvl w:val="1"/>
          <w:numId w:val="3"/>
        </w:numPr>
        <w:spacing w:after="0"/>
      </w:pPr>
      <w:r>
        <w:t xml:space="preserve">Agree </w:t>
      </w:r>
    </w:p>
    <w:p w14:paraId="2738E2AB" w14:textId="08F7FEEC" w:rsidR="00CD4C02" w:rsidRDefault="00816350" w:rsidP="00CD4C02">
      <w:pPr>
        <w:pStyle w:val="ListParagraph"/>
        <w:numPr>
          <w:ilvl w:val="0"/>
          <w:numId w:val="1"/>
        </w:numPr>
        <w:spacing w:after="0"/>
      </w:pPr>
      <w:r w:rsidRPr="00816350">
        <w:t>If I suspect that a patient may have an eating disorder, I do not inquire further because I am unsure of available resources to offer.</w:t>
      </w:r>
      <w:r>
        <w:rPr>
          <w:b/>
          <w:bCs/>
        </w:rPr>
        <w:t xml:space="preserve"> </w:t>
      </w:r>
    </w:p>
    <w:p w14:paraId="4C5C8C9E" w14:textId="77777777" w:rsidR="00CD4C02" w:rsidRDefault="00CD4C02" w:rsidP="00CD4C02">
      <w:pPr>
        <w:pStyle w:val="ListParagraph"/>
        <w:numPr>
          <w:ilvl w:val="1"/>
          <w:numId w:val="4"/>
        </w:numPr>
        <w:spacing w:after="0"/>
      </w:pPr>
      <w:r>
        <w:t>Disagree</w:t>
      </w:r>
    </w:p>
    <w:p w14:paraId="158B62B7" w14:textId="77777777" w:rsidR="00CD4C02" w:rsidRDefault="00CD4C02" w:rsidP="00CD4C02">
      <w:pPr>
        <w:pStyle w:val="ListParagraph"/>
        <w:numPr>
          <w:ilvl w:val="1"/>
          <w:numId w:val="4"/>
        </w:numPr>
        <w:spacing w:after="0"/>
      </w:pPr>
      <w:r>
        <w:t>Slightly disagree</w:t>
      </w:r>
    </w:p>
    <w:p w14:paraId="1F56CDBD" w14:textId="77777777" w:rsidR="00CD4C02" w:rsidRDefault="00CD4C02" w:rsidP="00CD4C02">
      <w:pPr>
        <w:pStyle w:val="ListParagraph"/>
        <w:numPr>
          <w:ilvl w:val="1"/>
          <w:numId w:val="4"/>
        </w:numPr>
        <w:spacing w:after="0"/>
      </w:pPr>
      <w:r>
        <w:t>Slightly agree</w:t>
      </w:r>
    </w:p>
    <w:p w14:paraId="601F9B88" w14:textId="77777777" w:rsidR="00CD4C02" w:rsidRDefault="00CD4C02" w:rsidP="00CD4C02">
      <w:pPr>
        <w:pStyle w:val="ListParagraph"/>
        <w:numPr>
          <w:ilvl w:val="1"/>
          <w:numId w:val="4"/>
        </w:numPr>
        <w:spacing w:after="0"/>
      </w:pPr>
      <w:r>
        <w:t xml:space="preserve">Agree </w:t>
      </w:r>
    </w:p>
    <w:p w14:paraId="379EA25F" w14:textId="60EC4B63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I evaluate patients for eating disorders the same way, regardless of their weight.</w:t>
      </w:r>
      <w:r w:rsidR="00816350">
        <w:t xml:space="preserve"> </w:t>
      </w:r>
    </w:p>
    <w:p w14:paraId="5BC7FAEA" w14:textId="77777777" w:rsidR="00CD4C02" w:rsidRDefault="00CD4C02" w:rsidP="00CD4C02">
      <w:pPr>
        <w:pStyle w:val="ListParagraph"/>
        <w:numPr>
          <w:ilvl w:val="1"/>
          <w:numId w:val="5"/>
        </w:numPr>
        <w:spacing w:after="0"/>
      </w:pPr>
      <w:r>
        <w:t>Disagree</w:t>
      </w:r>
    </w:p>
    <w:p w14:paraId="21F1CC22" w14:textId="77777777" w:rsidR="00CD4C02" w:rsidRDefault="00CD4C02" w:rsidP="00CD4C02">
      <w:pPr>
        <w:pStyle w:val="ListParagraph"/>
        <w:numPr>
          <w:ilvl w:val="1"/>
          <w:numId w:val="5"/>
        </w:numPr>
        <w:spacing w:after="0"/>
      </w:pPr>
      <w:r>
        <w:t>Slightly disagree</w:t>
      </w:r>
    </w:p>
    <w:p w14:paraId="5431081F" w14:textId="77777777" w:rsidR="00CD4C02" w:rsidRDefault="00CD4C02" w:rsidP="00CD4C02">
      <w:pPr>
        <w:pStyle w:val="ListParagraph"/>
        <w:numPr>
          <w:ilvl w:val="1"/>
          <w:numId w:val="5"/>
        </w:numPr>
        <w:spacing w:after="0"/>
      </w:pPr>
      <w:r>
        <w:t>Slightly agree</w:t>
      </w:r>
    </w:p>
    <w:p w14:paraId="781169F2" w14:textId="77777777" w:rsidR="00CD4C02" w:rsidRDefault="00CD4C02" w:rsidP="00CD4C02">
      <w:pPr>
        <w:pStyle w:val="ListParagraph"/>
        <w:numPr>
          <w:ilvl w:val="1"/>
          <w:numId w:val="5"/>
        </w:numPr>
        <w:spacing w:after="0"/>
      </w:pPr>
      <w:r>
        <w:t xml:space="preserve">Agree </w:t>
      </w:r>
    </w:p>
    <w:p w14:paraId="4F1A5D34" w14:textId="4A546BD9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I don’t think eating disorders are much of an issue in my current practice</w:t>
      </w:r>
      <w:r w:rsidR="007F38CE">
        <w:t>.</w:t>
      </w:r>
    </w:p>
    <w:p w14:paraId="41766A22" w14:textId="77777777" w:rsidR="00CD4C02" w:rsidRDefault="00CD4C02" w:rsidP="00CD4C02">
      <w:pPr>
        <w:pStyle w:val="ListParagraph"/>
        <w:numPr>
          <w:ilvl w:val="1"/>
          <w:numId w:val="6"/>
        </w:numPr>
        <w:spacing w:after="0"/>
      </w:pPr>
      <w:r>
        <w:t>Disagree</w:t>
      </w:r>
    </w:p>
    <w:p w14:paraId="76D276CF" w14:textId="77777777" w:rsidR="00CD4C02" w:rsidRDefault="00CD4C02" w:rsidP="00CD4C02">
      <w:pPr>
        <w:pStyle w:val="ListParagraph"/>
        <w:numPr>
          <w:ilvl w:val="1"/>
          <w:numId w:val="6"/>
        </w:numPr>
        <w:spacing w:after="0"/>
      </w:pPr>
      <w:r>
        <w:t>Slightly disagree</w:t>
      </w:r>
    </w:p>
    <w:p w14:paraId="0324E8F3" w14:textId="77777777" w:rsidR="00CD4C02" w:rsidRDefault="00CD4C02" w:rsidP="00CD4C02">
      <w:pPr>
        <w:pStyle w:val="ListParagraph"/>
        <w:numPr>
          <w:ilvl w:val="1"/>
          <w:numId w:val="6"/>
        </w:numPr>
        <w:spacing w:after="0"/>
      </w:pPr>
      <w:r>
        <w:t>Slightly agree</w:t>
      </w:r>
    </w:p>
    <w:p w14:paraId="3A096E98" w14:textId="77777777" w:rsidR="00CD4C02" w:rsidRDefault="00CD4C02" w:rsidP="00CD4C02">
      <w:pPr>
        <w:pStyle w:val="ListParagraph"/>
        <w:numPr>
          <w:ilvl w:val="1"/>
          <w:numId w:val="6"/>
        </w:numPr>
        <w:spacing w:after="0"/>
      </w:pPr>
      <w:r>
        <w:lastRenderedPageBreak/>
        <w:t xml:space="preserve">Agree </w:t>
      </w:r>
    </w:p>
    <w:p w14:paraId="16E49F88" w14:textId="18C6695C" w:rsidR="00CD4C02" w:rsidRDefault="00CD4C02" w:rsidP="00CD4C02">
      <w:pPr>
        <w:pStyle w:val="ListParagraph"/>
        <w:numPr>
          <w:ilvl w:val="0"/>
          <w:numId w:val="1"/>
        </w:numPr>
        <w:spacing w:after="0"/>
      </w:pPr>
      <w:r>
        <w:t>I am more likely to suspect an eating disorder in a patient with a low BMI</w:t>
      </w:r>
      <w:r w:rsidR="007F38CE">
        <w:t>.</w:t>
      </w:r>
    </w:p>
    <w:p w14:paraId="5BC8D482" w14:textId="77777777" w:rsidR="00CD4C02" w:rsidRDefault="00CD4C02" w:rsidP="00CD4C02">
      <w:pPr>
        <w:pStyle w:val="ListParagraph"/>
        <w:numPr>
          <w:ilvl w:val="1"/>
          <w:numId w:val="7"/>
        </w:numPr>
        <w:spacing w:after="0"/>
      </w:pPr>
      <w:r>
        <w:t>Disagree</w:t>
      </w:r>
    </w:p>
    <w:p w14:paraId="428D7098" w14:textId="77777777" w:rsidR="00CD4C02" w:rsidRDefault="00CD4C02" w:rsidP="00CD4C02">
      <w:pPr>
        <w:pStyle w:val="ListParagraph"/>
        <w:numPr>
          <w:ilvl w:val="1"/>
          <w:numId w:val="7"/>
        </w:numPr>
        <w:spacing w:after="0"/>
      </w:pPr>
      <w:r>
        <w:t>Slightly disagree</w:t>
      </w:r>
    </w:p>
    <w:p w14:paraId="47254A3D" w14:textId="77777777" w:rsidR="00CD4C02" w:rsidRDefault="00CD4C02" w:rsidP="00CD4C02">
      <w:pPr>
        <w:pStyle w:val="ListParagraph"/>
        <w:numPr>
          <w:ilvl w:val="1"/>
          <w:numId w:val="7"/>
        </w:numPr>
        <w:spacing w:after="0"/>
      </w:pPr>
      <w:r>
        <w:t>Slightly agree</w:t>
      </w:r>
    </w:p>
    <w:p w14:paraId="7C9DE9E3" w14:textId="77777777" w:rsidR="00CD4C02" w:rsidRDefault="00CD4C02" w:rsidP="00CD4C02">
      <w:pPr>
        <w:pStyle w:val="ListParagraph"/>
        <w:numPr>
          <w:ilvl w:val="1"/>
          <w:numId w:val="7"/>
        </w:numPr>
        <w:spacing w:after="0"/>
      </w:pPr>
      <w:r>
        <w:t xml:space="preserve">Agree </w:t>
      </w:r>
    </w:p>
    <w:p w14:paraId="6AB246D8" w14:textId="38BB12BA" w:rsidR="00CD4C02" w:rsidRDefault="00CD4C02"/>
    <w:p w14:paraId="7BCA3445" w14:textId="17443EF1" w:rsidR="00816350" w:rsidRDefault="00816350"/>
    <w:sectPr w:rsidR="0081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152"/>
    <w:multiLevelType w:val="hybridMultilevel"/>
    <w:tmpl w:val="F76EED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94A"/>
    <w:multiLevelType w:val="hybridMultilevel"/>
    <w:tmpl w:val="F8881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1D24"/>
    <w:multiLevelType w:val="hybridMultilevel"/>
    <w:tmpl w:val="53927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0351"/>
    <w:multiLevelType w:val="hybridMultilevel"/>
    <w:tmpl w:val="F670A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0993"/>
    <w:multiLevelType w:val="hybridMultilevel"/>
    <w:tmpl w:val="D4A6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6424B"/>
    <w:multiLevelType w:val="hybridMultilevel"/>
    <w:tmpl w:val="23A83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3CE2"/>
    <w:multiLevelType w:val="hybridMultilevel"/>
    <w:tmpl w:val="670A8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B02"/>
    <w:multiLevelType w:val="hybridMultilevel"/>
    <w:tmpl w:val="547A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7482">
    <w:abstractNumId w:val="7"/>
  </w:num>
  <w:num w:numId="2" w16cid:durableId="1508404152">
    <w:abstractNumId w:val="2"/>
  </w:num>
  <w:num w:numId="3" w16cid:durableId="1481464687">
    <w:abstractNumId w:val="1"/>
  </w:num>
  <w:num w:numId="4" w16cid:durableId="509370599">
    <w:abstractNumId w:val="5"/>
  </w:num>
  <w:num w:numId="5" w16cid:durableId="1247501166">
    <w:abstractNumId w:val="0"/>
  </w:num>
  <w:num w:numId="6" w16cid:durableId="686827591">
    <w:abstractNumId w:val="4"/>
  </w:num>
  <w:num w:numId="7" w16cid:durableId="1186797365">
    <w:abstractNumId w:val="6"/>
  </w:num>
  <w:num w:numId="8" w16cid:durableId="117102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02"/>
    <w:rsid w:val="000E2691"/>
    <w:rsid w:val="001F36DF"/>
    <w:rsid w:val="0034741E"/>
    <w:rsid w:val="003E109E"/>
    <w:rsid w:val="00560AE4"/>
    <w:rsid w:val="00712352"/>
    <w:rsid w:val="007206BC"/>
    <w:rsid w:val="007F38CE"/>
    <w:rsid w:val="00816350"/>
    <w:rsid w:val="009A5CC6"/>
    <w:rsid w:val="00AF7D0F"/>
    <w:rsid w:val="00B762E7"/>
    <w:rsid w:val="00CD4C02"/>
    <w:rsid w:val="00D77B20"/>
    <w:rsid w:val="00E65276"/>
    <w:rsid w:val="00F14630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CF1E"/>
  <w15:docId w15:val="{23D78EA3-4502-4AD2-B34D-89E5A32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Leep-Lazar</dc:creator>
  <cp:keywords/>
  <dc:description/>
  <cp:lastModifiedBy>Humphrey, Courtney</cp:lastModifiedBy>
  <cp:revision>12</cp:revision>
  <cp:lastPrinted>2023-04-13T18:07:00Z</cp:lastPrinted>
  <dcterms:created xsi:type="dcterms:W3CDTF">2023-04-06T17:54:00Z</dcterms:created>
  <dcterms:modified xsi:type="dcterms:W3CDTF">2023-06-22T18:34:00Z</dcterms:modified>
</cp:coreProperties>
</file>